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96" w:rsidRPr="00AA59D8" w:rsidRDefault="00AA59D8" w:rsidP="00AA59D8">
      <w:pPr>
        <w:spacing w:after="0" w:line="360" w:lineRule="auto"/>
        <w:ind w:left="567"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OPERAZIONI INESISTENTI: NULLO L’AVVISO DI ACCERTAMENTO SE LA SOCIETÀ CESSIONARIA NON ERA A CONOSCENZA DELLA FRODE FISCALE POSTA IN ESSERE DALLA SOCIETÀ CEDENTE</w:t>
      </w:r>
      <w:bookmarkStart w:id="1" w:name="_Hlk509240779"/>
    </w:p>
    <w:p w:rsidR="00224B62" w:rsidRDefault="00307B78" w:rsidP="00A6690D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Commissione Tributaria </w:t>
      </w:r>
      <w:r w:rsidR="00015B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Regionale - </w:t>
      </w:r>
      <w:r w:rsidR="00BC2334"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>Campania</w:t>
      </w:r>
      <w:r w:rsidR="00D72686"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Sentenza </w:t>
      </w:r>
      <w:r w:rsidR="00BC2334"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>07 febbraio</w:t>
      </w:r>
      <w:r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BC2334"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>, n.1</w:t>
      </w:r>
      <w:r w:rsidR="00BC2334" w:rsidRPr="000007DF">
        <w:rPr>
          <w:rFonts w:ascii="Times New Roman" w:hAnsi="Times New Roman" w:cs="Times New Roman"/>
          <w:b/>
          <w:bCs/>
          <w:sz w:val="24"/>
          <w:szCs w:val="24"/>
          <w:u w:val="single"/>
        </w:rPr>
        <w:t>114</w:t>
      </w:r>
    </w:p>
    <w:p w:rsidR="00224B62" w:rsidRDefault="00224B62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4B62" w:rsidRPr="00224B62" w:rsidRDefault="001D0BF4" w:rsidP="00224B62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Annullati totalmente</w:t>
      </w:r>
      <w:r w:rsidR="00224B62" w:rsidRPr="00224B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sei avvisi di accertamento per via dell’assenza di prova idonea a dimostrare la consapevolezza della società cessionaria della asserita frode fiscale posta in essere dalla societ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à </w:t>
      </w:r>
      <w:r w:rsidR="00224B62" w:rsidRPr="00224B62">
        <w:rPr>
          <w:rFonts w:ascii="Times New Roman" w:hAnsi="Times New Roman" w:cs="Times New Roman"/>
          <w:b/>
          <w:bCs/>
          <w:i/>
          <w:sz w:val="24"/>
          <w:szCs w:val="24"/>
        </w:rPr>
        <w:t>cedente</w:t>
      </w:r>
      <w:r w:rsidR="00A669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che aveva fatturato le operazioni in contestazione</w:t>
      </w:r>
      <w:r w:rsidR="00224B62" w:rsidRPr="00224B6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bookmarkEnd w:id="1"/>
    <w:p w:rsidR="000007DF" w:rsidRDefault="000007DF" w:rsidP="00A6690D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78" w:rsidRPr="0087718C" w:rsidRDefault="00307B78" w:rsidP="0087718C">
      <w:pPr>
        <w:pStyle w:val="Paragrafoelenco"/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8C">
        <w:rPr>
          <w:rFonts w:ascii="Times New Roman" w:hAnsi="Times New Roman" w:cs="Times New Roman"/>
          <w:b/>
          <w:sz w:val="24"/>
          <w:szCs w:val="24"/>
        </w:rPr>
        <w:t>IL CASO</w:t>
      </w:r>
    </w:p>
    <w:p w:rsidR="00164A0F" w:rsidRPr="000007DF" w:rsidRDefault="00F725F0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 xml:space="preserve">A seguito di verifica fiscale eseguita dalla Guardia di Finanza, </w:t>
      </w:r>
      <w:r w:rsidR="001532EF" w:rsidRPr="000007DF">
        <w:rPr>
          <w:rFonts w:ascii="Times New Roman" w:hAnsi="Times New Roman" w:cs="Times New Roman"/>
          <w:sz w:val="24"/>
          <w:szCs w:val="24"/>
        </w:rPr>
        <w:t>l’Agenzia delle Entrate – Direzione Provinciale di Benevento notificava a una società di consulenza immobiliare e ai su</w:t>
      </w:r>
      <w:r w:rsidR="00062B41" w:rsidRPr="000007DF">
        <w:rPr>
          <w:rFonts w:ascii="Times New Roman" w:hAnsi="Times New Roman" w:cs="Times New Roman"/>
          <w:sz w:val="24"/>
          <w:szCs w:val="24"/>
        </w:rPr>
        <w:t>o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i soci sei avvisi di accertamento. </w:t>
      </w:r>
    </w:p>
    <w:p w:rsidR="001532EF" w:rsidRPr="000007DF" w:rsidRDefault="00A6690D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Più nel dettaglio, l</w:t>
      </w:r>
      <w:r w:rsidR="008B3C73">
        <w:rPr>
          <w:rFonts w:ascii="Times New Roman" w:hAnsi="Times New Roman" w:cs="Times New Roman"/>
          <w:sz w:val="24"/>
          <w:szCs w:val="24"/>
        </w:rPr>
        <w:t xml:space="preserve">a vicenda trae origine da un’attività investigativa </w:t>
      </w:r>
      <w:r w:rsidR="00642AD2">
        <w:rPr>
          <w:rFonts w:ascii="Times New Roman" w:hAnsi="Times New Roman" w:cs="Times New Roman"/>
          <w:sz w:val="24"/>
          <w:szCs w:val="24"/>
        </w:rPr>
        <w:t>posta in essere dal</w:t>
      </w:r>
      <w:r w:rsidR="001532EF" w:rsidRPr="000007DF">
        <w:rPr>
          <w:rFonts w:ascii="Times New Roman" w:hAnsi="Times New Roman" w:cs="Times New Roman"/>
          <w:sz w:val="24"/>
          <w:szCs w:val="24"/>
        </w:rPr>
        <w:t>l’Ufficio</w:t>
      </w:r>
      <w:r w:rsidR="00642AD2">
        <w:rPr>
          <w:rFonts w:ascii="Times New Roman" w:hAnsi="Times New Roman" w:cs="Times New Roman"/>
          <w:sz w:val="24"/>
          <w:szCs w:val="24"/>
        </w:rPr>
        <w:t xml:space="preserve"> che, </w:t>
      </w:r>
      <w:r w:rsidR="00062B41" w:rsidRPr="000007DF">
        <w:rPr>
          <w:rFonts w:ascii="Times New Roman" w:hAnsi="Times New Roman" w:cs="Times New Roman"/>
          <w:sz w:val="24"/>
          <w:szCs w:val="24"/>
        </w:rPr>
        <w:t xml:space="preserve">dopo aver </w:t>
      </w:r>
      <w:r w:rsidR="001532EF" w:rsidRPr="000007DF">
        <w:rPr>
          <w:rFonts w:ascii="Times New Roman" w:hAnsi="Times New Roman" w:cs="Times New Roman"/>
          <w:sz w:val="24"/>
          <w:szCs w:val="24"/>
        </w:rPr>
        <w:t>riscontra</w:t>
      </w:r>
      <w:r w:rsidR="00164A0F" w:rsidRPr="000007DF">
        <w:rPr>
          <w:rFonts w:ascii="Times New Roman" w:hAnsi="Times New Roman" w:cs="Times New Roman"/>
          <w:sz w:val="24"/>
          <w:szCs w:val="24"/>
        </w:rPr>
        <w:t>to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 che la società ave</w:t>
      </w:r>
      <w:r w:rsidR="00062B41" w:rsidRPr="000007DF">
        <w:rPr>
          <w:rFonts w:ascii="Times New Roman" w:hAnsi="Times New Roman" w:cs="Times New Roman"/>
          <w:sz w:val="24"/>
          <w:szCs w:val="24"/>
        </w:rPr>
        <w:t>va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 intrattenuto rapporti commerciali con una ditta </w:t>
      </w:r>
      <w:r w:rsidR="00164A0F" w:rsidRPr="000007DF">
        <w:rPr>
          <w:rFonts w:ascii="Times New Roman" w:hAnsi="Times New Roman" w:cs="Times New Roman"/>
          <w:sz w:val="24"/>
          <w:szCs w:val="24"/>
        </w:rPr>
        <w:t>di elettronica</w:t>
      </w:r>
      <w:r w:rsidR="001532EF" w:rsidRPr="000007DF">
        <w:rPr>
          <w:rFonts w:ascii="Times New Roman" w:hAnsi="Times New Roman" w:cs="Times New Roman"/>
          <w:b/>
          <w:sz w:val="24"/>
          <w:szCs w:val="24"/>
        </w:rPr>
        <w:t>,</w:t>
      </w:r>
      <w:r w:rsidR="00164A0F" w:rsidRPr="0000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B41" w:rsidRPr="000007DF">
        <w:rPr>
          <w:rFonts w:ascii="Times New Roman" w:hAnsi="Times New Roman" w:cs="Times New Roman"/>
          <w:sz w:val="24"/>
          <w:szCs w:val="24"/>
        </w:rPr>
        <w:t>contesta</w:t>
      </w:r>
      <w:r w:rsidR="00642AD2">
        <w:rPr>
          <w:rFonts w:ascii="Times New Roman" w:hAnsi="Times New Roman" w:cs="Times New Roman"/>
          <w:sz w:val="24"/>
          <w:szCs w:val="24"/>
        </w:rPr>
        <w:t>va</w:t>
      </w:r>
      <w:r w:rsidR="00062B41" w:rsidRPr="0000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che da parte della società </w:t>
      </w:r>
      <w:r w:rsidR="00E63922">
        <w:rPr>
          <w:rFonts w:ascii="Times New Roman" w:hAnsi="Times New Roman" w:cs="Times New Roman"/>
          <w:sz w:val="24"/>
          <w:szCs w:val="24"/>
        </w:rPr>
        <w:t xml:space="preserve">immobiliare 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erano state contabilizzate e dichiarate delle fatture emesse per </w:t>
      </w:r>
      <w:r w:rsidR="001532EF" w:rsidRPr="000007DF">
        <w:rPr>
          <w:rFonts w:ascii="Times New Roman" w:hAnsi="Times New Roman" w:cs="Times New Roman"/>
          <w:b/>
          <w:sz w:val="24"/>
          <w:szCs w:val="24"/>
        </w:rPr>
        <w:t>operazioni inesistenti</w:t>
      </w:r>
      <w:r w:rsidR="00062B41" w:rsidRPr="000007DF">
        <w:rPr>
          <w:rFonts w:ascii="Times New Roman" w:hAnsi="Times New Roman" w:cs="Times New Roman"/>
          <w:sz w:val="24"/>
          <w:szCs w:val="24"/>
        </w:rPr>
        <w:t xml:space="preserve">. </w:t>
      </w:r>
      <w:r w:rsidR="00164A0F" w:rsidRPr="000007DF">
        <w:rPr>
          <w:rFonts w:ascii="Times New Roman" w:hAnsi="Times New Roman" w:cs="Times New Roman"/>
          <w:sz w:val="24"/>
          <w:szCs w:val="24"/>
        </w:rPr>
        <w:t xml:space="preserve">In buona sostanza, </w:t>
      </w:r>
      <w:r w:rsidR="004065C7">
        <w:rPr>
          <w:rFonts w:ascii="Times New Roman" w:hAnsi="Times New Roman" w:cs="Times New Roman"/>
          <w:sz w:val="24"/>
          <w:szCs w:val="24"/>
        </w:rPr>
        <w:t xml:space="preserve">a quest’ultima, </w:t>
      </w:r>
      <w:r w:rsidR="00164A0F" w:rsidRPr="000007DF">
        <w:rPr>
          <w:rFonts w:ascii="Times New Roman" w:hAnsi="Times New Roman" w:cs="Times New Roman"/>
          <w:sz w:val="24"/>
          <w:szCs w:val="24"/>
        </w:rPr>
        <w:t>si contestava</w:t>
      </w:r>
      <w:r w:rsidR="00164A0F" w:rsidRPr="000007DF">
        <w:rPr>
          <w:rFonts w:ascii="Times New Roman" w:hAnsi="Times New Roman" w:cs="Times New Roman"/>
          <w:bCs/>
          <w:sz w:val="24"/>
          <w:szCs w:val="24"/>
        </w:rPr>
        <w:t xml:space="preserve"> un’indebita detrazione di costi riferiti ad operazioni inesistenti.</w:t>
      </w:r>
    </w:p>
    <w:p w:rsidR="001532EF" w:rsidRPr="000007DF" w:rsidRDefault="001532EF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 xml:space="preserve">Avverso 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i suddetti avvisi di accertamento, la società </w:t>
      </w:r>
      <w:r w:rsidR="00062B41" w:rsidRPr="000007DF">
        <w:rPr>
          <w:rFonts w:ascii="Times New Roman" w:hAnsi="Times New Roman" w:cs="Times New Roman"/>
          <w:bCs/>
          <w:sz w:val="24"/>
          <w:szCs w:val="24"/>
        </w:rPr>
        <w:t xml:space="preserve">contribuente 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e i soci, </w:t>
      </w:r>
      <w:r w:rsidR="005F349F">
        <w:rPr>
          <w:rFonts w:ascii="Times New Roman" w:hAnsi="Times New Roman" w:cs="Times New Roman"/>
          <w:bCs/>
          <w:sz w:val="24"/>
          <w:szCs w:val="24"/>
        </w:rPr>
        <w:t xml:space="preserve">difesi </w:t>
      </w:r>
      <w:r w:rsidR="005F349F" w:rsidRPr="003A662B">
        <w:rPr>
          <w:rFonts w:ascii="Times New Roman" w:hAnsi="Times New Roman" w:cs="Times New Roman"/>
          <w:bCs/>
          <w:sz w:val="24"/>
          <w:szCs w:val="24"/>
        </w:rPr>
        <w:t>dall’</w:t>
      </w:r>
      <w:r w:rsidR="005F349F" w:rsidRPr="003A662B">
        <w:rPr>
          <w:rFonts w:ascii="Times New Roman" w:hAnsi="Times New Roman" w:cs="Times New Roman"/>
          <w:b/>
          <w:bCs/>
          <w:sz w:val="24"/>
          <w:szCs w:val="24"/>
        </w:rPr>
        <w:t>Avv. Maurizio Villani,</w:t>
      </w:r>
      <w:r w:rsidR="005F3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7DF">
        <w:rPr>
          <w:rFonts w:ascii="Times New Roman" w:hAnsi="Times New Roman" w:cs="Times New Roman"/>
          <w:bCs/>
          <w:sz w:val="24"/>
          <w:szCs w:val="24"/>
        </w:rPr>
        <w:t>deposita</w:t>
      </w:r>
      <w:r w:rsidR="00164A0F" w:rsidRPr="000007DF">
        <w:rPr>
          <w:rFonts w:ascii="Times New Roman" w:hAnsi="Times New Roman" w:cs="Times New Roman"/>
          <w:bCs/>
          <w:sz w:val="24"/>
          <w:szCs w:val="24"/>
        </w:rPr>
        <w:t>vano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 tempestivi ricorsi dinnanzi alla competente Commissione tributaria</w:t>
      </w:r>
      <w:r w:rsidR="00A6690D">
        <w:rPr>
          <w:rFonts w:ascii="Times New Roman" w:hAnsi="Times New Roman" w:cs="Times New Roman"/>
          <w:bCs/>
          <w:sz w:val="24"/>
          <w:szCs w:val="24"/>
        </w:rPr>
        <w:t xml:space="preserve"> di Benevento</w:t>
      </w:r>
      <w:r w:rsidRPr="000007DF">
        <w:rPr>
          <w:rFonts w:ascii="Times New Roman" w:hAnsi="Times New Roman" w:cs="Times New Roman"/>
          <w:bCs/>
          <w:sz w:val="24"/>
          <w:szCs w:val="24"/>
        </w:rPr>
        <w:t>, eccependo:</w:t>
      </w:r>
    </w:p>
    <w:p w:rsidR="001532EF" w:rsidRPr="000007DF" w:rsidRDefault="001532EF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>la nullità de</w:t>
      </w:r>
      <w:r w:rsidR="00062B41" w:rsidRPr="000007DF">
        <w:rPr>
          <w:rFonts w:ascii="Times New Roman" w:hAnsi="Times New Roman" w:cs="Times New Roman"/>
          <w:bCs/>
          <w:sz w:val="24"/>
          <w:szCs w:val="24"/>
        </w:rPr>
        <w:t xml:space="preserve">gli </w:t>
      </w:r>
      <w:r w:rsidRPr="000007DF">
        <w:rPr>
          <w:rFonts w:ascii="Times New Roman" w:hAnsi="Times New Roman" w:cs="Times New Roman"/>
          <w:bCs/>
          <w:sz w:val="24"/>
          <w:szCs w:val="24"/>
        </w:rPr>
        <w:t>avvis</w:t>
      </w:r>
      <w:r w:rsidR="00062B41" w:rsidRPr="000007DF">
        <w:rPr>
          <w:rFonts w:ascii="Times New Roman" w:hAnsi="Times New Roman" w:cs="Times New Roman"/>
          <w:bCs/>
          <w:sz w:val="24"/>
          <w:szCs w:val="24"/>
        </w:rPr>
        <w:t>i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B41" w:rsidRPr="000007DF">
        <w:rPr>
          <w:rFonts w:ascii="Times New Roman" w:hAnsi="Times New Roman" w:cs="Times New Roman"/>
          <w:bCs/>
          <w:sz w:val="24"/>
          <w:szCs w:val="24"/>
        </w:rPr>
        <w:t xml:space="preserve">di accertamento 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per difetto </w:t>
      </w:r>
      <w:r w:rsidR="00164A0F" w:rsidRPr="000007DF">
        <w:rPr>
          <w:rFonts w:ascii="Times New Roman" w:hAnsi="Times New Roman" w:cs="Times New Roman"/>
          <w:bCs/>
          <w:sz w:val="24"/>
          <w:szCs w:val="24"/>
        </w:rPr>
        <w:t xml:space="preserve">di sottoscrizione e </w:t>
      </w:r>
      <w:r w:rsidRPr="000007DF">
        <w:rPr>
          <w:rFonts w:ascii="Times New Roman" w:hAnsi="Times New Roman" w:cs="Times New Roman"/>
          <w:bCs/>
          <w:sz w:val="24"/>
          <w:szCs w:val="24"/>
        </w:rPr>
        <w:t>di motivazione;</w:t>
      </w:r>
    </w:p>
    <w:p w:rsidR="00062B41" w:rsidRPr="000007DF" w:rsidRDefault="001532EF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 xml:space="preserve">l’assoluta illegittimità del modus operandi dell’Ufficio; </w:t>
      </w:r>
    </w:p>
    <w:p w:rsidR="001532EF" w:rsidRPr="000007DF" w:rsidRDefault="00062B41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violazione dei principi costituzionali di affidamento e buona fede nei rapporti tra amministrazione finanziaria e contribuente, così come disposto dall’art. 10 dello Statuto dei diritti del Contribuente (Legge n. 212 del 2000);</w:t>
      </w:r>
    </w:p>
    <w:p w:rsidR="001532EF" w:rsidRPr="000007DF" w:rsidRDefault="001532EF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>l’onere della prova e la validità delle presunzioni;</w:t>
      </w:r>
    </w:p>
    <w:p w:rsidR="00D12338" w:rsidRPr="000007DF" w:rsidRDefault="001532EF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>nel merito, l’effettiva esistenza delle operazioni</w:t>
      </w:r>
      <w:r w:rsidR="00D12338" w:rsidRPr="000007DF">
        <w:rPr>
          <w:rFonts w:ascii="Times New Roman" w:hAnsi="Times New Roman" w:cs="Times New Roman"/>
          <w:bCs/>
          <w:sz w:val="24"/>
          <w:szCs w:val="24"/>
        </w:rPr>
        <w:t xml:space="preserve"> commerciali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 oggetto di contestazione</w:t>
      </w:r>
      <w:r w:rsidR="0039423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E252E">
        <w:rPr>
          <w:rFonts w:ascii="Times New Roman" w:hAnsi="Times New Roman" w:cs="Times New Roman"/>
          <w:bCs/>
          <w:sz w:val="24"/>
          <w:szCs w:val="24"/>
        </w:rPr>
        <w:t xml:space="preserve">provata </w:t>
      </w:r>
      <w:r w:rsidR="00394237">
        <w:rPr>
          <w:rFonts w:ascii="Times New Roman" w:hAnsi="Times New Roman" w:cs="Times New Roman"/>
          <w:bCs/>
          <w:sz w:val="24"/>
          <w:szCs w:val="24"/>
        </w:rPr>
        <w:t xml:space="preserve">mediante il 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 xml:space="preserve">depositato </w:t>
      </w:r>
      <w:r w:rsidR="00394237">
        <w:rPr>
          <w:rFonts w:ascii="Times New Roman" w:hAnsi="Times New Roman" w:cs="Times New Roman"/>
          <w:bCs/>
          <w:sz w:val="24"/>
          <w:szCs w:val="24"/>
        </w:rPr>
        <w:t>di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 xml:space="preserve"> copie delle fatture ricevute dalla ditta elettronica </w:t>
      </w:r>
      <w:r w:rsidR="0039423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>dimostra</w:t>
      </w:r>
      <w:r w:rsidR="00394237">
        <w:rPr>
          <w:rFonts w:ascii="Times New Roman" w:hAnsi="Times New Roman" w:cs="Times New Roman"/>
          <w:bCs/>
          <w:sz w:val="24"/>
          <w:szCs w:val="24"/>
        </w:rPr>
        <w:t xml:space="preserve">ta attraverso copie degli 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>avvenut</w:t>
      </w:r>
      <w:r w:rsidR="00394237">
        <w:rPr>
          <w:rFonts w:ascii="Times New Roman" w:hAnsi="Times New Roman" w:cs="Times New Roman"/>
          <w:bCs/>
          <w:sz w:val="24"/>
          <w:szCs w:val="24"/>
        </w:rPr>
        <w:t>i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 xml:space="preserve"> pagament</w:t>
      </w:r>
      <w:r w:rsidR="00394237">
        <w:rPr>
          <w:rFonts w:ascii="Times New Roman" w:hAnsi="Times New Roman" w:cs="Times New Roman"/>
          <w:bCs/>
          <w:sz w:val="24"/>
          <w:szCs w:val="24"/>
        </w:rPr>
        <w:t>i</w:t>
      </w:r>
      <w:r w:rsidR="00394237" w:rsidRPr="00394237">
        <w:rPr>
          <w:rFonts w:ascii="Times New Roman" w:hAnsi="Times New Roman" w:cs="Times New Roman"/>
          <w:bCs/>
          <w:sz w:val="24"/>
          <w:szCs w:val="24"/>
        </w:rPr>
        <w:t xml:space="preserve"> di tali fatture mediante mezzi tracciati</w:t>
      </w:r>
      <w:r w:rsidR="00394237">
        <w:rPr>
          <w:rFonts w:ascii="Times New Roman" w:hAnsi="Times New Roman" w:cs="Times New Roman"/>
          <w:bCs/>
          <w:sz w:val="24"/>
          <w:szCs w:val="24"/>
        </w:rPr>
        <w:t>)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1532EF" w:rsidRPr="000007DF" w:rsidRDefault="001532EF" w:rsidP="004065C7">
      <w:pPr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subordine, la deducibilità dei costi e la detraibilità dell’Iva a fronte di </w:t>
      </w:r>
      <w:r w:rsidR="00015B96">
        <w:rPr>
          <w:rFonts w:ascii="Times New Roman" w:hAnsi="Times New Roman" w:cs="Times New Roman"/>
          <w:bCs/>
          <w:sz w:val="24"/>
          <w:szCs w:val="24"/>
        </w:rPr>
        <w:t>operazioni</w:t>
      </w:r>
      <w:r w:rsidR="00AA6592" w:rsidRPr="000007DF">
        <w:rPr>
          <w:rFonts w:ascii="Times New Roman" w:hAnsi="Times New Roman" w:cs="Times New Roman"/>
          <w:bCs/>
          <w:sz w:val="24"/>
          <w:szCs w:val="24"/>
        </w:rPr>
        <w:t xml:space="preserve"> realmente poste in essere e intercorse tra i soggetti che figurano quale emittente e percettore della fattura.</w:t>
      </w:r>
    </w:p>
    <w:p w:rsidR="001532EF" w:rsidRPr="000007DF" w:rsidRDefault="001532EF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 xml:space="preserve">L’Agenzia delle Entrate, </w:t>
      </w:r>
      <w:r w:rsidR="00642AD2">
        <w:rPr>
          <w:rFonts w:ascii="Times New Roman" w:hAnsi="Times New Roman" w:cs="Times New Roman"/>
          <w:bCs/>
          <w:sz w:val="24"/>
          <w:szCs w:val="24"/>
        </w:rPr>
        <w:t xml:space="preserve">costituitasi </w:t>
      </w:r>
      <w:r w:rsidRPr="000007DF">
        <w:rPr>
          <w:rFonts w:ascii="Times New Roman" w:hAnsi="Times New Roman" w:cs="Times New Roman"/>
          <w:bCs/>
          <w:sz w:val="24"/>
          <w:szCs w:val="24"/>
        </w:rPr>
        <w:t>in giudizio, confermava la validità degli accertamenti e chiedeva l’integrale rigetto dei ricorsi.</w:t>
      </w:r>
    </w:p>
    <w:p w:rsidR="000C58CB" w:rsidRPr="00642AD2" w:rsidRDefault="004065C7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Chiamata a pronunciarsi, l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’adita </w:t>
      </w:r>
      <w:r w:rsidR="00D12338" w:rsidRPr="000007DF">
        <w:rPr>
          <w:rFonts w:ascii="Times New Roman" w:hAnsi="Times New Roman" w:cs="Times New Roman"/>
          <w:sz w:val="24"/>
          <w:szCs w:val="24"/>
        </w:rPr>
        <w:t>CTP di Benevento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, </w:t>
      </w:r>
      <w:r w:rsidR="000C58CB" w:rsidRPr="000007DF">
        <w:rPr>
          <w:rFonts w:ascii="Times New Roman" w:hAnsi="Times New Roman" w:cs="Times New Roman"/>
          <w:sz w:val="24"/>
          <w:szCs w:val="24"/>
        </w:rPr>
        <w:t xml:space="preserve">con sentenza </w:t>
      </w:r>
      <w:r w:rsidR="000C58CB" w:rsidRPr="000007DF">
        <w:rPr>
          <w:rFonts w:ascii="Times New Roman" w:hAnsi="Times New Roman" w:cs="Times New Roman"/>
          <w:b/>
          <w:sz w:val="24"/>
          <w:szCs w:val="24"/>
        </w:rPr>
        <w:t xml:space="preserve">n. 227/2/2013, </w:t>
      </w:r>
      <w:r w:rsidR="00642AD2" w:rsidRPr="00642AD2">
        <w:rPr>
          <w:rFonts w:ascii="Times New Roman" w:hAnsi="Times New Roman" w:cs="Times New Roman"/>
          <w:sz w:val="24"/>
          <w:szCs w:val="24"/>
        </w:rPr>
        <w:t xml:space="preserve">mentre 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accoglieva parzialmente </w:t>
      </w:r>
      <w:r w:rsidR="007B6A1E" w:rsidRPr="000007DF">
        <w:rPr>
          <w:rFonts w:ascii="Times New Roman" w:hAnsi="Times New Roman" w:cs="Times New Roman"/>
          <w:sz w:val="24"/>
          <w:szCs w:val="24"/>
        </w:rPr>
        <w:t>alcuni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 ricorsi dei ricorrenti</w:t>
      </w:r>
      <w:r w:rsidR="007B6A1E" w:rsidRPr="000007DF">
        <w:rPr>
          <w:rFonts w:ascii="Times New Roman" w:hAnsi="Times New Roman" w:cs="Times New Roman"/>
          <w:sz w:val="24"/>
          <w:szCs w:val="24"/>
        </w:rPr>
        <w:t xml:space="preserve">, rilevando nel merito che </w:t>
      </w:r>
      <w:r w:rsidR="00B82316" w:rsidRPr="000007DF">
        <w:rPr>
          <w:rFonts w:ascii="Times New Roman" w:hAnsi="Times New Roman" w:cs="Times New Roman"/>
          <w:sz w:val="24"/>
          <w:szCs w:val="24"/>
        </w:rPr>
        <w:t>solo una piccola</w:t>
      </w:r>
      <w:r w:rsidR="007B6A1E" w:rsidRPr="000007DF">
        <w:rPr>
          <w:rFonts w:ascii="Times New Roman" w:hAnsi="Times New Roman" w:cs="Times New Roman"/>
          <w:sz w:val="24"/>
          <w:szCs w:val="24"/>
        </w:rPr>
        <w:t xml:space="preserve"> parte dei costi era stata legittimamente detratta, ne accoglieva totalmente altri per difetto di sottoscrizione</w:t>
      </w:r>
      <w:r w:rsidR="000C58CB" w:rsidRPr="000007DF">
        <w:rPr>
          <w:rFonts w:ascii="Times New Roman" w:hAnsi="Times New Roman" w:cs="Times New Roman"/>
          <w:sz w:val="24"/>
          <w:szCs w:val="24"/>
        </w:rPr>
        <w:t>.</w:t>
      </w:r>
      <w:r w:rsidR="000C58CB" w:rsidRPr="000007D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065C7" w:rsidRDefault="008D601C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7DF">
        <w:rPr>
          <w:rFonts w:ascii="Times New Roman" w:hAnsi="Times New Roman" w:cs="Times New Roman"/>
          <w:iCs/>
          <w:sz w:val="24"/>
          <w:szCs w:val="24"/>
        </w:rPr>
        <w:t>Ebbene, a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>vverso la sentenza</w:t>
      </w:r>
      <w:r w:rsidR="00AA6592" w:rsidRPr="000007DF">
        <w:rPr>
          <w:rFonts w:ascii="Times New Roman" w:hAnsi="Times New Roman" w:cs="Times New Roman"/>
          <w:iCs/>
          <w:sz w:val="24"/>
          <w:szCs w:val="24"/>
        </w:rPr>
        <w:t xml:space="preserve"> di primo grado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>, propo</w:t>
      </w:r>
      <w:r w:rsidR="00AA6592" w:rsidRPr="000007DF">
        <w:rPr>
          <w:rFonts w:ascii="Times New Roman" w:hAnsi="Times New Roman" w:cs="Times New Roman"/>
          <w:iCs/>
          <w:sz w:val="24"/>
          <w:szCs w:val="24"/>
        </w:rPr>
        <w:t>nevano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2316" w:rsidRPr="000007DF">
        <w:rPr>
          <w:rFonts w:ascii="Times New Roman" w:hAnsi="Times New Roman" w:cs="Times New Roman"/>
          <w:b/>
          <w:iCs/>
          <w:sz w:val="24"/>
          <w:szCs w:val="24"/>
        </w:rPr>
        <w:t>appello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58CB" w:rsidRPr="000007DF">
        <w:rPr>
          <w:rFonts w:ascii="Times New Roman" w:hAnsi="Times New Roman" w:cs="Times New Roman"/>
          <w:iCs/>
          <w:sz w:val="24"/>
          <w:szCs w:val="24"/>
        </w:rPr>
        <w:t>sia i contribuenti, che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 l’Agenzia delle Entrate</w:t>
      </w:r>
      <w:r w:rsidR="000C58CB" w:rsidRPr="000007DF">
        <w:rPr>
          <w:rFonts w:ascii="Times New Roman" w:hAnsi="Times New Roman" w:cs="Times New Roman"/>
          <w:iCs/>
          <w:sz w:val="24"/>
          <w:szCs w:val="24"/>
        </w:rPr>
        <w:t>.</w:t>
      </w:r>
    </w:p>
    <w:p w:rsidR="001532EF" w:rsidRPr="000007DF" w:rsidRDefault="001532EF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07DF">
        <w:rPr>
          <w:rFonts w:ascii="Times New Roman" w:hAnsi="Times New Roman" w:cs="Times New Roman"/>
          <w:iCs/>
          <w:sz w:val="24"/>
          <w:szCs w:val="24"/>
        </w:rPr>
        <w:t xml:space="preserve">Nello specifico, 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>la società e soci</w:t>
      </w:r>
      <w:r w:rsidRPr="000007D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>reiterando integralmente tutte le eccezioni formulate in primo grado</w:t>
      </w:r>
      <w:r w:rsidR="004065C7">
        <w:rPr>
          <w:rFonts w:ascii="Times New Roman" w:hAnsi="Times New Roman" w:cs="Times New Roman"/>
          <w:iCs/>
          <w:sz w:val="24"/>
          <w:szCs w:val="24"/>
        </w:rPr>
        <w:t>,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 xml:space="preserve"> insist</w:t>
      </w:r>
      <w:r w:rsidR="00AA6592" w:rsidRPr="000007DF">
        <w:rPr>
          <w:rFonts w:ascii="Times New Roman" w:hAnsi="Times New Roman" w:cs="Times New Roman"/>
          <w:iCs/>
          <w:sz w:val="24"/>
          <w:szCs w:val="24"/>
        </w:rPr>
        <w:t>evano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 xml:space="preserve"> nel sostenere l’illegittimità dell’accertamento societario stante </w:t>
      </w:r>
      <w:r w:rsidR="00B82316" w:rsidRPr="000007DF">
        <w:rPr>
          <w:rFonts w:ascii="Times New Roman" w:hAnsi="Times New Roman" w:cs="Times New Roman"/>
          <w:b/>
          <w:iCs/>
          <w:sz w:val="24"/>
          <w:szCs w:val="24"/>
        </w:rPr>
        <w:t>l’inidoneità delle prove fornite dall’Ufficio a dimostrare l’inesistenza delle operazioni in contestazione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>.</w:t>
      </w:r>
    </w:p>
    <w:p w:rsidR="001532EF" w:rsidRPr="000007DF" w:rsidRDefault="00642AD2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Parimenti l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’Agenzia delle Entrate – Direzione Provinciale di Benevento, </w:t>
      </w:r>
      <w:r w:rsidR="003C4E60" w:rsidRPr="000007DF">
        <w:rPr>
          <w:rFonts w:ascii="Times New Roman" w:hAnsi="Times New Roman" w:cs="Times New Roman"/>
          <w:iCs/>
          <w:sz w:val="24"/>
          <w:szCs w:val="24"/>
        </w:rPr>
        <w:t>impugna</w:t>
      </w:r>
      <w:r w:rsidR="00AA6592" w:rsidRPr="000007DF">
        <w:rPr>
          <w:rFonts w:ascii="Times New Roman" w:hAnsi="Times New Roman" w:cs="Times New Roman"/>
          <w:iCs/>
          <w:sz w:val="24"/>
          <w:szCs w:val="24"/>
        </w:rPr>
        <w:t>va</w:t>
      </w:r>
      <w:r w:rsidR="003C4E60" w:rsidRPr="000007DF">
        <w:rPr>
          <w:rFonts w:ascii="Times New Roman" w:hAnsi="Times New Roman" w:cs="Times New Roman"/>
          <w:iCs/>
          <w:sz w:val="24"/>
          <w:szCs w:val="24"/>
        </w:rPr>
        <w:t xml:space="preserve"> parzialmente 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la sentenza </w:t>
      </w:r>
      <w:r w:rsidR="00B82316" w:rsidRPr="000007DF">
        <w:rPr>
          <w:rFonts w:ascii="Times New Roman" w:hAnsi="Times New Roman" w:cs="Times New Roman"/>
          <w:iCs/>
          <w:sz w:val="24"/>
          <w:szCs w:val="24"/>
        </w:rPr>
        <w:t xml:space="preserve">di primo grado </w:t>
      </w:r>
      <w:r>
        <w:rPr>
          <w:rFonts w:ascii="Times New Roman" w:hAnsi="Times New Roman" w:cs="Times New Roman"/>
          <w:iCs/>
          <w:sz w:val="24"/>
          <w:szCs w:val="24"/>
        </w:rPr>
        <w:t xml:space="preserve">per quanto di ragione, 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sottolineando come le fatture oggetto di contestazione fossero relative ad </w:t>
      </w:r>
      <w:r w:rsidR="001532EF" w:rsidRPr="007726C8">
        <w:rPr>
          <w:rFonts w:ascii="Times New Roman" w:hAnsi="Times New Roman" w:cs="Times New Roman"/>
          <w:b/>
          <w:iCs/>
          <w:sz w:val="24"/>
          <w:szCs w:val="24"/>
        </w:rPr>
        <w:t>operazioni soggettivamente inesistenti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 e, come tali, indeducibili, per non avere il contribuente (committente/cessionario) </w:t>
      </w:r>
      <w:r w:rsidR="006C15F0">
        <w:rPr>
          <w:rFonts w:ascii="Times New Roman" w:hAnsi="Times New Roman" w:cs="Times New Roman"/>
          <w:iCs/>
          <w:sz w:val="24"/>
          <w:szCs w:val="24"/>
        </w:rPr>
        <w:t xml:space="preserve">altresì 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dimostrato la propria buona fede nei rapporti </w:t>
      </w:r>
      <w:r w:rsidR="00AA6592" w:rsidRPr="000007DF">
        <w:rPr>
          <w:rFonts w:ascii="Times New Roman" w:hAnsi="Times New Roman" w:cs="Times New Roman"/>
          <w:iCs/>
          <w:sz w:val="24"/>
          <w:szCs w:val="24"/>
        </w:rPr>
        <w:t xml:space="preserve">intercorsi 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>con il soggetto cedente.</w:t>
      </w:r>
    </w:p>
    <w:p w:rsidR="001532EF" w:rsidRPr="004065C7" w:rsidRDefault="000C58CB" w:rsidP="004065C7">
      <w:pPr>
        <w:widowControl w:val="0"/>
        <w:autoSpaceDE w:val="0"/>
        <w:autoSpaceDN w:val="0"/>
        <w:spacing w:after="0" w:line="360" w:lineRule="auto"/>
        <w:ind w:left="567" w:right="424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0007DF">
        <w:rPr>
          <w:rFonts w:ascii="Times New Roman" w:hAnsi="Times New Roman" w:cs="Times New Roman"/>
          <w:iCs/>
          <w:sz w:val="24"/>
          <w:szCs w:val="24"/>
        </w:rPr>
        <w:t xml:space="preserve">Ebbene, 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con </w:t>
      </w:r>
      <w:r w:rsidR="001532EF" w:rsidRPr="000007DF">
        <w:rPr>
          <w:rFonts w:ascii="Times New Roman" w:hAnsi="Times New Roman" w:cs="Times New Roman"/>
          <w:b/>
          <w:iCs/>
          <w:sz w:val="24"/>
          <w:szCs w:val="24"/>
        </w:rPr>
        <w:t>sentenza n. 10968/15, la CTR di Napoli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, in riforma dell’impugnata </w:t>
      </w:r>
      <w:r w:rsidR="00642AD2">
        <w:rPr>
          <w:rFonts w:ascii="Times New Roman" w:hAnsi="Times New Roman" w:cs="Times New Roman"/>
          <w:iCs/>
          <w:sz w:val="24"/>
          <w:szCs w:val="24"/>
        </w:rPr>
        <w:t>pronuncia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32EF" w:rsidRPr="000007DF">
        <w:rPr>
          <w:rFonts w:ascii="Times New Roman" w:hAnsi="Times New Roman" w:cs="Times New Roman"/>
          <w:b/>
          <w:iCs/>
          <w:sz w:val="24"/>
          <w:szCs w:val="24"/>
        </w:rPr>
        <w:t xml:space="preserve">rigettava </w:t>
      </w:r>
      <w:r w:rsidR="003C4E60" w:rsidRPr="000007DF">
        <w:rPr>
          <w:rFonts w:ascii="Times New Roman" w:hAnsi="Times New Roman" w:cs="Times New Roman"/>
          <w:b/>
          <w:iCs/>
          <w:sz w:val="24"/>
          <w:szCs w:val="24"/>
        </w:rPr>
        <w:t xml:space="preserve">totalmente </w:t>
      </w:r>
      <w:r w:rsidR="001532EF" w:rsidRPr="000007DF">
        <w:rPr>
          <w:rFonts w:ascii="Times New Roman" w:hAnsi="Times New Roman" w:cs="Times New Roman"/>
          <w:b/>
          <w:iCs/>
          <w:sz w:val="24"/>
          <w:szCs w:val="24"/>
        </w:rPr>
        <w:t xml:space="preserve">l’appello proposto </w:t>
      </w:r>
      <w:r w:rsidRPr="000007DF">
        <w:rPr>
          <w:rFonts w:ascii="Times New Roman" w:hAnsi="Times New Roman" w:cs="Times New Roman"/>
          <w:b/>
          <w:iCs/>
          <w:sz w:val="24"/>
          <w:szCs w:val="24"/>
        </w:rPr>
        <w:t xml:space="preserve">dai contribuenti </w:t>
      </w:r>
      <w:r w:rsidR="001532EF" w:rsidRPr="000007DF">
        <w:rPr>
          <w:rFonts w:ascii="Times New Roman" w:hAnsi="Times New Roman" w:cs="Times New Roman"/>
          <w:b/>
          <w:iCs/>
          <w:sz w:val="24"/>
          <w:szCs w:val="24"/>
        </w:rPr>
        <w:t>e accoglieva parzialmente l’appello dell’Ufficio</w:t>
      </w:r>
      <w:r w:rsidR="001532EF" w:rsidRPr="000007DF">
        <w:rPr>
          <w:rFonts w:ascii="Times New Roman" w:hAnsi="Times New Roman" w:cs="Times New Roman"/>
          <w:iCs/>
          <w:sz w:val="24"/>
          <w:szCs w:val="24"/>
        </w:rPr>
        <w:t>, in particolare affermando</w:t>
      </w:r>
      <w:r w:rsidR="00614028" w:rsidRPr="000007DF">
        <w:rPr>
          <w:rFonts w:ascii="Times New Roman" w:hAnsi="Times New Roman" w:cs="Times New Roman"/>
          <w:iCs/>
          <w:sz w:val="24"/>
          <w:szCs w:val="24"/>
        </w:rPr>
        <w:t xml:space="preserve"> che avendo condotto delle indagini sulla figura del titolare della ditta elettronica fornitrice di servizi ed essendo quest’ultimo risultato nullatenente e privo di una struttura organizzativa idonea per la fornitura dei servizi fatturati </w:t>
      </w:r>
      <w:r w:rsidR="003C4E60" w:rsidRPr="000007DF">
        <w:rPr>
          <w:rFonts w:ascii="Times New Roman" w:hAnsi="Times New Roman" w:cs="Times New Roman"/>
          <w:iCs/>
          <w:sz w:val="24"/>
          <w:szCs w:val="24"/>
        </w:rPr>
        <w:t>“</w:t>
      </w:r>
      <w:r w:rsidR="00614028" w:rsidRPr="000007DF">
        <w:rPr>
          <w:rFonts w:ascii="Times New Roman" w:hAnsi="Times New Roman" w:cs="Times New Roman"/>
          <w:iCs/>
          <w:sz w:val="24"/>
          <w:szCs w:val="24"/>
        </w:rPr>
        <w:t xml:space="preserve">(…) </w:t>
      </w:r>
      <w:r w:rsidR="003C4E60" w:rsidRPr="000007DF">
        <w:rPr>
          <w:rFonts w:ascii="Times New Roman" w:eastAsia="Calibri" w:hAnsi="Times New Roman" w:cs="Times New Roman"/>
          <w:i/>
          <w:iCs/>
          <w:sz w:val="24"/>
          <w:szCs w:val="24"/>
        </w:rPr>
        <w:t>Di fronte ad elementi più che attendibili sulla inesistenza delle operazioni fatturate, sarebbe stato onere del contribuente dimostrare la fonte legittima della detrazione e del costo, altrimenti indeducibili (Cassazione 2847/2008) non essendo sufficiente, a tale scopo, la dimostrazione della regolarità meramente formale delle scritture o le evidenze contabili dei pagamenti, in quanto si tratta di dati e circostanze facilmente falsificabili (Cassazione, sentenze 15228/2001, 1950/2007, 12802/2011)”.</w:t>
      </w:r>
      <w:r w:rsidR="00614028" w:rsidRPr="000007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14028" w:rsidRPr="000007DF">
        <w:rPr>
          <w:rFonts w:ascii="Times New Roman" w:eastAsia="Calibri" w:hAnsi="Times New Roman" w:cs="Times New Roman"/>
          <w:iCs/>
          <w:sz w:val="24"/>
          <w:szCs w:val="24"/>
        </w:rPr>
        <w:t xml:space="preserve">Ancora in tal senso, i giudici della </w:t>
      </w:r>
      <w:r w:rsidR="0091706A">
        <w:rPr>
          <w:rFonts w:ascii="Times New Roman" w:eastAsia="Calibri" w:hAnsi="Times New Roman" w:cs="Times New Roman"/>
          <w:iCs/>
          <w:sz w:val="24"/>
          <w:szCs w:val="24"/>
        </w:rPr>
        <w:t xml:space="preserve">Commissione </w:t>
      </w:r>
      <w:r w:rsidR="00614028" w:rsidRPr="000007DF">
        <w:rPr>
          <w:rFonts w:ascii="Times New Roman" w:eastAsia="Calibri" w:hAnsi="Times New Roman" w:cs="Times New Roman"/>
          <w:iCs/>
          <w:sz w:val="24"/>
          <w:szCs w:val="24"/>
        </w:rPr>
        <w:t>Regionale ritenevano che la contribuente non ave</w:t>
      </w:r>
      <w:r w:rsidR="00642AD2">
        <w:rPr>
          <w:rFonts w:ascii="Times New Roman" w:eastAsia="Calibri" w:hAnsi="Times New Roman" w:cs="Times New Roman"/>
          <w:iCs/>
          <w:sz w:val="24"/>
          <w:szCs w:val="24"/>
        </w:rPr>
        <w:t xml:space="preserve">va </w:t>
      </w:r>
      <w:r w:rsidR="00614028" w:rsidRPr="000007DF">
        <w:rPr>
          <w:rFonts w:ascii="Times New Roman" w:eastAsia="Calibri" w:hAnsi="Times New Roman" w:cs="Times New Roman"/>
          <w:iCs/>
          <w:sz w:val="24"/>
          <w:szCs w:val="24"/>
        </w:rPr>
        <w:t xml:space="preserve">comprovato la propria buona fede nei rapporti intercorsi con la ditta fornitrice </w:t>
      </w:r>
      <w:r w:rsidR="004065C7">
        <w:rPr>
          <w:rFonts w:ascii="Times New Roman" w:eastAsia="Calibri" w:hAnsi="Times New Roman" w:cs="Times New Roman"/>
          <w:iCs/>
          <w:sz w:val="24"/>
          <w:szCs w:val="24"/>
        </w:rPr>
        <w:t xml:space="preserve">(risultata priva di struttura organizzativa idonea) </w:t>
      </w:r>
      <w:r w:rsidR="00614028" w:rsidRPr="000007DF">
        <w:rPr>
          <w:rFonts w:ascii="Times New Roman" w:eastAsia="Calibri" w:hAnsi="Times New Roman" w:cs="Times New Roman"/>
          <w:iCs/>
          <w:sz w:val="24"/>
          <w:szCs w:val="24"/>
        </w:rPr>
        <w:t xml:space="preserve">e che </w:t>
      </w:r>
      <w:r w:rsidR="00B61725" w:rsidRPr="000007DF">
        <w:rPr>
          <w:rFonts w:ascii="Times New Roman" w:eastAsia="Calibri" w:hAnsi="Times New Roman" w:cs="Times New Roman"/>
          <w:iCs/>
          <w:sz w:val="24"/>
          <w:szCs w:val="24"/>
        </w:rPr>
        <w:t xml:space="preserve">l’Ufficio aveva contestato </w:t>
      </w:r>
      <w:r w:rsidR="00B61725" w:rsidRPr="007726C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tanto </w:t>
      </w:r>
      <w:r w:rsidR="00B61725" w:rsidRPr="007726C8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l’inesistenza soggettiva, </w:t>
      </w:r>
      <w:r w:rsidR="00B61725" w:rsidRPr="004065C7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quanto quella oggettiva delle operazioni commerciali in contestazione</w:t>
      </w:r>
      <w:r w:rsidR="00B61725" w:rsidRPr="004065C7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</w:p>
    <w:p w:rsidR="001532EF" w:rsidRPr="000007DF" w:rsidRDefault="00B61725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>Orbene, a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vverso la pronuncia </w:t>
      </w:r>
      <w:r w:rsidR="001532EF" w:rsidRPr="000007DF">
        <w:rPr>
          <w:rFonts w:ascii="Times New Roman" w:hAnsi="Times New Roman" w:cs="Times New Roman"/>
          <w:bCs/>
          <w:i/>
          <w:sz w:val="24"/>
          <w:szCs w:val="24"/>
        </w:rPr>
        <w:t>de qua</w:t>
      </w:r>
      <w:r w:rsidR="0003497D" w:rsidRPr="000007D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736E2A" w:rsidRPr="000007DF">
        <w:rPr>
          <w:rFonts w:ascii="Times New Roman" w:hAnsi="Times New Roman" w:cs="Times New Roman"/>
          <w:bCs/>
          <w:sz w:val="24"/>
          <w:szCs w:val="24"/>
        </w:rPr>
        <w:t xml:space="preserve">società di </w:t>
      </w:r>
      <w:r w:rsidRPr="000007DF">
        <w:rPr>
          <w:rFonts w:ascii="Times New Roman" w:hAnsi="Times New Roman" w:cs="Times New Roman"/>
          <w:bCs/>
          <w:sz w:val="24"/>
          <w:szCs w:val="24"/>
        </w:rPr>
        <w:t>c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onsulenza </w:t>
      </w:r>
      <w:r w:rsidRPr="000007DF">
        <w:rPr>
          <w:rFonts w:ascii="Times New Roman" w:hAnsi="Times New Roman" w:cs="Times New Roman"/>
          <w:bCs/>
          <w:sz w:val="24"/>
          <w:szCs w:val="24"/>
        </w:rPr>
        <w:t>i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mmobiliare propo</w:t>
      </w:r>
      <w:r w:rsidRPr="000007DF">
        <w:rPr>
          <w:rFonts w:ascii="Times New Roman" w:hAnsi="Times New Roman" w:cs="Times New Roman"/>
          <w:bCs/>
          <w:sz w:val="24"/>
          <w:szCs w:val="24"/>
        </w:rPr>
        <w:t>neva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2EF" w:rsidRPr="004065C7">
        <w:rPr>
          <w:rFonts w:ascii="Times New Roman" w:hAnsi="Times New Roman" w:cs="Times New Roman"/>
          <w:b/>
          <w:bCs/>
          <w:sz w:val="24"/>
          <w:szCs w:val="24"/>
        </w:rPr>
        <w:t>ricorso in Cassazione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97D" w:rsidRPr="000007DF">
        <w:rPr>
          <w:rFonts w:ascii="Times New Roman" w:hAnsi="Times New Roman" w:cs="Times New Roman"/>
          <w:bCs/>
          <w:sz w:val="24"/>
          <w:szCs w:val="24"/>
        </w:rPr>
        <w:t>contestando la nullità e c</w:t>
      </w:r>
      <w:r w:rsidR="007726C8">
        <w:rPr>
          <w:rFonts w:ascii="Times New Roman" w:hAnsi="Times New Roman" w:cs="Times New Roman"/>
          <w:bCs/>
          <w:sz w:val="24"/>
          <w:szCs w:val="24"/>
        </w:rPr>
        <w:t>ensurabilità della sentenza d</w:t>
      </w:r>
      <w:r w:rsidR="0003497D" w:rsidRPr="000007DF">
        <w:rPr>
          <w:rFonts w:ascii="Times New Roman" w:hAnsi="Times New Roman" w:cs="Times New Roman"/>
          <w:bCs/>
          <w:sz w:val="24"/>
          <w:szCs w:val="24"/>
        </w:rPr>
        <w:t xml:space="preserve">’appello ed </w:t>
      </w:r>
      <w:r w:rsidRPr="000007DF">
        <w:rPr>
          <w:rFonts w:ascii="Times New Roman" w:hAnsi="Times New Roman" w:cs="Times New Roman"/>
          <w:bCs/>
          <w:sz w:val="24"/>
          <w:szCs w:val="24"/>
        </w:rPr>
        <w:t xml:space="preserve">eccependo </w:t>
      </w:r>
      <w:r w:rsidR="007726C8">
        <w:rPr>
          <w:rFonts w:ascii="Times New Roman" w:hAnsi="Times New Roman" w:cs="Times New Roman"/>
          <w:bCs/>
          <w:sz w:val="24"/>
          <w:szCs w:val="24"/>
        </w:rPr>
        <w:t>in particolare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:</w:t>
      </w:r>
    </w:p>
    <w:p w:rsidR="001532EF" w:rsidRPr="007D37C5" w:rsidRDefault="007726C8" w:rsidP="007D37C5">
      <w:pPr>
        <w:numPr>
          <w:ilvl w:val="0"/>
          <w:numId w:val="4"/>
        </w:numPr>
        <w:spacing w:after="0" w:line="360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violazione e falsa applicazione dell’articolo 112 c.p.c., in relazione all’articolo 360, primo comma, n. 3 c.p.c.</w:t>
      </w:r>
      <w:r w:rsidR="0003497D" w:rsidRPr="000007DF">
        <w:rPr>
          <w:rFonts w:ascii="Times New Roman" w:hAnsi="Times New Roman" w:cs="Times New Roman"/>
          <w:bCs/>
          <w:sz w:val="24"/>
          <w:szCs w:val="24"/>
        </w:rPr>
        <w:t xml:space="preserve">, denunciando che la CTR era incorsa nel 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>vizio di ultrapetizione per aver erroneamente considerato le operazioni commerciali in contestazion</w:t>
      </w:r>
      <w:r w:rsidR="006C15F0" w:rsidRPr="006C15F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 oggettivamente inesistenti, laddove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>, invece,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 l’Ufficio, ne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 su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>i precedenti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 att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>difensivi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, aveva </w:t>
      </w:r>
      <w:r w:rsidR="0087718C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sempre 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 xml:space="preserve">ristretto la contestazione </w:t>
      </w:r>
      <w:r w:rsidR="006C15F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97D" w:rsidRPr="006C15F0">
        <w:rPr>
          <w:rFonts w:ascii="Times New Roman" w:hAnsi="Times New Roman" w:cs="Times New Roman"/>
          <w:b/>
          <w:bCs/>
          <w:sz w:val="24"/>
          <w:szCs w:val="24"/>
        </w:rPr>
        <w:t>l campo delle operazioni soggettivamente inesistenti</w:t>
      </w:r>
      <w:r w:rsidR="007D37C5">
        <w:rPr>
          <w:rFonts w:ascii="Times New Roman" w:hAnsi="Times New Roman" w:cs="Times New Roman"/>
          <w:bCs/>
          <w:sz w:val="24"/>
          <w:szCs w:val="24"/>
        </w:rPr>
        <w:t xml:space="preserve">. Di fatto, </w:t>
      </w:r>
      <w:r w:rsidR="007D37C5" w:rsidRPr="007D37C5">
        <w:rPr>
          <w:rFonts w:ascii="Times New Roman" w:hAnsi="Times New Roman" w:cs="Times New Roman"/>
          <w:bCs/>
          <w:sz w:val="24"/>
          <w:szCs w:val="24"/>
        </w:rPr>
        <w:t xml:space="preserve">i giudici di secondo grado si </w:t>
      </w:r>
      <w:r w:rsidR="007D37C5">
        <w:rPr>
          <w:rFonts w:ascii="Times New Roman" w:hAnsi="Times New Roman" w:cs="Times New Roman"/>
          <w:bCs/>
          <w:sz w:val="24"/>
          <w:szCs w:val="24"/>
        </w:rPr>
        <w:t>erano</w:t>
      </w:r>
      <w:r w:rsidR="007D37C5" w:rsidRPr="007D37C5">
        <w:rPr>
          <w:rFonts w:ascii="Times New Roman" w:hAnsi="Times New Roman" w:cs="Times New Roman"/>
          <w:bCs/>
          <w:sz w:val="24"/>
          <w:szCs w:val="24"/>
        </w:rPr>
        <w:t xml:space="preserve"> del tutto sostituiti all’Ufficio, ritenendo</w:t>
      </w:r>
      <w:r w:rsidR="007D37C5">
        <w:rPr>
          <w:rFonts w:ascii="Times New Roman" w:hAnsi="Times New Roman" w:cs="Times New Roman"/>
          <w:bCs/>
          <w:sz w:val="24"/>
          <w:szCs w:val="24"/>
        </w:rPr>
        <w:t>,</w:t>
      </w:r>
      <w:r w:rsidR="007D37C5" w:rsidRPr="007D37C5">
        <w:rPr>
          <w:rFonts w:ascii="Times New Roman" w:hAnsi="Times New Roman" w:cs="Times New Roman"/>
          <w:bCs/>
          <w:sz w:val="24"/>
          <w:szCs w:val="24"/>
        </w:rPr>
        <w:t xml:space="preserve"> che le suddette operazioni non </w:t>
      </w:r>
      <w:r w:rsidR="007D37C5">
        <w:rPr>
          <w:rFonts w:ascii="Times New Roman" w:hAnsi="Times New Roman" w:cs="Times New Roman"/>
          <w:bCs/>
          <w:sz w:val="24"/>
          <w:szCs w:val="24"/>
        </w:rPr>
        <w:t>fossero</w:t>
      </w:r>
      <w:r w:rsidR="007D37C5" w:rsidRPr="007D37C5">
        <w:rPr>
          <w:rFonts w:ascii="Times New Roman" w:hAnsi="Times New Roman" w:cs="Times New Roman"/>
          <w:bCs/>
          <w:sz w:val="24"/>
          <w:szCs w:val="24"/>
        </w:rPr>
        <w:t xml:space="preserve"> mai state poste in essere, e riformando così il </w:t>
      </w:r>
      <w:r w:rsidR="007D37C5" w:rsidRPr="007D37C5">
        <w:rPr>
          <w:rFonts w:ascii="Times New Roman" w:hAnsi="Times New Roman" w:cs="Times New Roman"/>
          <w:bCs/>
          <w:i/>
          <w:sz w:val="24"/>
          <w:szCs w:val="24"/>
        </w:rPr>
        <w:t xml:space="preserve">decisum </w:t>
      </w:r>
      <w:r w:rsidR="007D37C5" w:rsidRPr="007D37C5">
        <w:rPr>
          <w:rFonts w:ascii="Times New Roman" w:hAnsi="Times New Roman" w:cs="Times New Roman"/>
          <w:bCs/>
          <w:sz w:val="24"/>
          <w:szCs w:val="24"/>
        </w:rPr>
        <w:t>di primo grado che, viceversa, aveva riconosciuto l’esistenza delle operazioni ritenendole, tuttavia, sovrafatturate</w:t>
      </w:r>
      <w:r w:rsidR="007D37C5">
        <w:rPr>
          <w:rFonts w:ascii="Times New Roman" w:hAnsi="Times New Roman" w:cs="Times New Roman"/>
          <w:bCs/>
          <w:sz w:val="24"/>
          <w:szCs w:val="24"/>
        </w:rPr>
        <w:t>;</w:t>
      </w:r>
    </w:p>
    <w:p w:rsidR="001532EF" w:rsidRPr="000007DF" w:rsidRDefault="007726C8" w:rsidP="004065C7">
      <w:pPr>
        <w:numPr>
          <w:ilvl w:val="0"/>
          <w:numId w:val="4"/>
        </w:numPr>
        <w:spacing w:after="0" w:line="360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violazione e falsa applicazione degli articoli 2697 c.c., 11</w:t>
      </w:r>
      <w:r w:rsidR="000541D7" w:rsidRPr="000007DF">
        <w:rPr>
          <w:rFonts w:ascii="Times New Roman" w:hAnsi="Times New Roman" w:cs="Times New Roman"/>
          <w:bCs/>
          <w:sz w:val="24"/>
          <w:szCs w:val="24"/>
        </w:rPr>
        <w:t>2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 xml:space="preserve"> c.p.c. nonché dell’articolo 7 del D. Lgs. n. 546/1992, in relazione all’art. 360, n. 3 c.p.c.</w:t>
      </w:r>
      <w:r w:rsidR="000541D7" w:rsidRPr="000007DF">
        <w:rPr>
          <w:rFonts w:ascii="Times New Roman" w:hAnsi="Times New Roman" w:cs="Times New Roman"/>
          <w:bCs/>
          <w:sz w:val="24"/>
          <w:szCs w:val="24"/>
        </w:rPr>
        <w:t>, denunciando che la CTR aveva erroneamente considerato sufficientemente motivato e comprovato l’atto impositivo e sopperendo alle carenze di prove fornite dall’Ufficio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;</w:t>
      </w:r>
    </w:p>
    <w:p w:rsidR="001532EF" w:rsidRPr="000007DF" w:rsidRDefault="007726C8" w:rsidP="004065C7">
      <w:pPr>
        <w:numPr>
          <w:ilvl w:val="0"/>
          <w:numId w:val="4"/>
        </w:numPr>
        <w:spacing w:after="0" w:line="360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532EF" w:rsidRPr="000007DF">
        <w:rPr>
          <w:rFonts w:ascii="Times New Roman" w:hAnsi="Times New Roman" w:cs="Times New Roman"/>
          <w:bCs/>
          <w:sz w:val="24"/>
          <w:szCs w:val="24"/>
        </w:rPr>
        <w:t>rideterminazione delle sanzioni e rinvio.</w:t>
      </w:r>
    </w:p>
    <w:p w:rsidR="00D97801" w:rsidRPr="000007DF" w:rsidRDefault="000541D7" w:rsidP="004065C7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>Ebbene, la Suprema Corte di Cassazione, c</w:t>
      </w:r>
      <w:r w:rsidR="001532EF" w:rsidRPr="000007DF">
        <w:rPr>
          <w:rFonts w:ascii="Times New Roman" w:hAnsi="Times New Roman" w:cs="Times New Roman"/>
          <w:sz w:val="24"/>
          <w:szCs w:val="24"/>
        </w:rPr>
        <w:t xml:space="preserve">on </w:t>
      </w:r>
      <w:r w:rsidR="001532EF" w:rsidRPr="000007DF">
        <w:rPr>
          <w:rFonts w:ascii="Times New Roman" w:hAnsi="Times New Roman" w:cs="Times New Roman"/>
          <w:b/>
          <w:sz w:val="24"/>
          <w:szCs w:val="24"/>
        </w:rPr>
        <w:t xml:space="preserve">ordinanza n. 13265 </w:t>
      </w:r>
      <w:r w:rsidRPr="000007DF">
        <w:rPr>
          <w:rFonts w:ascii="Times New Roman" w:hAnsi="Times New Roman" w:cs="Times New Roman"/>
          <w:sz w:val="24"/>
          <w:szCs w:val="24"/>
        </w:rPr>
        <w:t>del</w:t>
      </w:r>
      <w:r w:rsidR="001532EF" w:rsidRPr="000007DF">
        <w:rPr>
          <w:rFonts w:ascii="Times New Roman" w:hAnsi="Times New Roman" w:cs="Times New Roman"/>
          <w:b/>
          <w:sz w:val="24"/>
          <w:szCs w:val="24"/>
        </w:rPr>
        <w:t xml:space="preserve"> 25/05/2017</w:t>
      </w:r>
      <w:r w:rsidR="003F6179" w:rsidRPr="000007DF">
        <w:rPr>
          <w:rFonts w:ascii="Times New Roman" w:hAnsi="Times New Roman" w:cs="Times New Roman"/>
          <w:b/>
          <w:sz w:val="24"/>
          <w:szCs w:val="24"/>
        </w:rPr>
        <w:t xml:space="preserve">, nel </w:t>
      </w:r>
      <w:r w:rsidR="00903B54" w:rsidRPr="000007DF">
        <w:rPr>
          <w:rFonts w:ascii="Times New Roman" w:hAnsi="Times New Roman" w:cs="Times New Roman"/>
          <w:b/>
          <w:sz w:val="24"/>
          <w:szCs w:val="24"/>
        </w:rPr>
        <w:t>ritener</w:t>
      </w:r>
      <w:r w:rsidR="008A7882" w:rsidRPr="000007DF">
        <w:rPr>
          <w:rFonts w:ascii="Times New Roman" w:hAnsi="Times New Roman" w:cs="Times New Roman"/>
          <w:b/>
          <w:sz w:val="24"/>
          <w:szCs w:val="24"/>
        </w:rPr>
        <w:t>e</w:t>
      </w:r>
      <w:r w:rsidR="003F6179" w:rsidRPr="000007DF">
        <w:rPr>
          <w:rFonts w:ascii="Times New Roman" w:hAnsi="Times New Roman" w:cs="Times New Roman"/>
          <w:b/>
          <w:sz w:val="24"/>
          <w:szCs w:val="24"/>
        </w:rPr>
        <w:t xml:space="preserve"> che i Giudici di secondo grado erano incorsi nel vizio di ultrape</w:t>
      </w:r>
      <w:r w:rsidR="008A7882" w:rsidRPr="000007DF">
        <w:rPr>
          <w:rFonts w:ascii="Times New Roman" w:hAnsi="Times New Roman" w:cs="Times New Roman"/>
          <w:b/>
          <w:sz w:val="24"/>
          <w:szCs w:val="24"/>
        </w:rPr>
        <w:t>ti</w:t>
      </w:r>
      <w:r w:rsidR="003F6179" w:rsidRPr="000007DF">
        <w:rPr>
          <w:rFonts w:ascii="Times New Roman" w:hAnsi="Times New Roman" w:cs="Times New Roman"/>
          <w:b/>
          <w:sz w:val="24"/>
          <w:szCs w:val="24"/>
        </w:rPr>
        <w:t>zione,</w:t>
      </w:r>
      <w:r w:rsidRPr="000007DF">
        <w:rPr>
          <w:rFonts w:ascii="Times New Roman" w:hAnsi="Times New Roman" w:cs="Times New Roman"/>
          <w:b/>
          <w:sz w:val="24"/>
          <w:szCs w:val="24"/>
        </w:rPr>
        <w:t xml:space="preserve"> accoglieva </w:t>
      </w:r>
      <w:r w:rsidR="001532EF" w:rsidRPr="00393B79">
        <w:rPr>
          <w:rFonts w:ascii="Times New Roman" w:hAnsi="Times New Roman" w:cs="Times New Roman"/>
          <w:b/>
          <w:sz w:val="24"/>
          <w:szCs w:val="24"/>
        </w:rPr>
        <w:t>il pr</w:t>
      </w:r>
      <w:r w:rsidR="001532EF" w:rsidRPr="003C57D5">
        <w:rPr>
          <w:rFonts w:ascii="Times New Roman" w:hAnsi="Times New Roman" w:cs="Times New Roman"/>
          <w:b/>
          <w:sz w:val="24"/>
          <w:szCs w:val="24"/>
        </w:rPr>
        <w:t>imo ed il terzo motivo di ricorso, cassa</w:t>
      </w:r>
      <w:r w:rsidR="00054944" w:rsidRPr="003C57D5">
        <w:rPr>
          <w:rFonts w:ascii="Times New Roman" w:hAnsi="Times New Roman" w:cs="Times New Roman"/>
          <w:b/>
          <w:sz w:val="24"/>
          <w:szCs w:val="24"/>
        </w:rPr>
        <w:t>va</w:t>
      </w:r>
      <w:r w:rsidRPr="003C5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EF" w:rsidRPr="003C57D5">
        <w:rPr>
          <w:rFonts w:ascii="Times New Roman" w:hAnsi="Times New Roman" w:cs="Times New Roman"/>
          <w:b/>
          <w:sz w:val="24"/>
          <w:szCs w:val="24"/>
        </w:rPr>
        <w:t>la sentenza impugnata e rinvia</w:t>
      </w:r>
      <w:r w:rsidR="00054944" w:rsidRPr="003C57D5">
        <w:rPr>
          <w:rFonts w:ascii="Times New Roman" w:hAnsi="Times New Roman" w:cs="Times New Roman"/>
          <w:b/>
          <w:sz w:val="24"/>
          <w:szCs w:val="24"/>
        </w:rPr>
        <w:t>va</w:t>
      </w:r>
      <w:r w:rsidR="001532EF" w:rsidRPr="003C57D5">
        <w:rPr>
          <w:rFonts w:ascii="Times New Roman" w:hAnsi="Times New Roman" w:cs="Times New Roman"/>
          <w:b/>
          <w:sz w:val="24"/>
          <w:szCs w:val="24"/>
        </w:rPr>
        <w:t xml:space="preserve"> a diversa sezione della CTR </w:t>
      </w:r>
      <w:r w:rsidR="006C15F0" w:rsidRPr="003C57D5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 w:rsidR="001532EF" w:rsidRPr="003C57D5">
        <w:rPr>
          <w:rFonts w:ascii="Times New Roman" w:hAnsi="Times New Roman" w:cs="Times New Roman"/>
          <w:b/>
          <w:sz w:val="24"/>
          <w:szCs w:val="24"/>
        </w:rPr>
        <w:t xml:space="preserve">Campania per un nuovo esame. </w:t>
      </w:r>
    </w:p>
    <w:p w:rsidR="007726C8" w:rsidRPr="000007DF" w:rsidRDefault="007726C8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07B78" w:rsidRPr="00D16CE8" w:rsidRDefault="00307B78" w:rsidP="0087718C">
      <w:pPr>
        <w:pStyle w:val="Paragrafoelenco"/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8C">
        <w:rPr>
          <w:rFonts w:ascii="Times New Roman" w:hAnsi="Times New Roman" w:cs="Times New Roman"/>
          <w:b/>
          <w:sz w:val="24"/>
          <w:szCs w:val="24"/>
        </w:rPr>
        <w:t>SOLUZION</w:t>
      </w:r>
      <w:r w:rsidR="005071B9" w:rsidRPr="0087718C">
        <w:rPr>
          <w:rFonts w:ascii="Times New Roman" w:hAnsi="Times New Roman" w:cs="Times New Roman"/>
          <w:b/>
          <w:sz w:val="24"/>
          <w:szCs w:val="24"/>
        </w:rPr>
        <w:t>E</w:t>
      </w:r>
      <w:r w:rsidRPr="0087718C">
        <w:rPr>
          <w:rFonts w:ascii="Times New Roman" w:hAnsi="Times New Roman" w:cs="Times New Roman"/>
          <w:b/>
          <w:sz w:val="24"/>
          <w:szCs w:val="24"/>
        </w:rPr>
        <w:t xml:space="preserve"> GIURIDIC</w:t>
      </w:r>
      <w:r w:rsidR="005071B9" w:rsidRPr="0087718C">
        <w:rPr>
          <w:rFonts w:ascii="Times New Roman" w:hAnsi="Times New Roman" w:cs="Times New Roman"/>
          <w:b/>
          <w:sz w:val="24"/>
          <w:szCs w:val="24"/>
        </w:rPr>
        <w:t>A</w:t>
      </w:r>
      <w:r w:rsidR="007726C8" w:rsidRPr="0087718C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2" w:name="_Hlk2175713"/>
      <w:r w:rsidR="007726C8" w:rsidRPr="0087718C">
        <w:rPr>
          <w:rFonts w:ascii="Times New Roman" w:hAnsi="Times New Roman" w:cs="Times New Roman"/>
          <w:b/>
          <w:bCs/>
          <w:sz w:val="24"/>
          <w:szCs w:val="24"/>
        </w:rPr>
        <w:t>Commissione Tributaria Regionale - Campania, sentenza n. 1114/2019.</w:t>
      </w:r>
    </w:p>
    <w:bookmarkEnd w:id="2"/>
    <w:p w:rsidR="00D16CE8" w:rsidRPr="000007DF" w:rsidRDefault="00D16CE8" w:rsidP="00D16CE8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 xml:space="preserve">In seguito </w:t>
      </w:r>
      <w:r w:rsidR="00C2521B" w:rsidRPr="004E252E">
        <w:rPr>
          <w:rFonts w:ascii="Times New Roman" w:hAnsi="Times New Roman" w:cs="Times New Roman"/>
          <w:sz w:val="24"/>
          <w:szCs w:val="24"/>
        </w:rPr>
        <w:t>all’ordinanza della Cassazione n. 13265/ 2017</w:t>
      </w:r>
      <w:r w:rsidRPr="004E252E">
        <w:rPr>
          <w:rFonts w:ascii="Times New Roman" w:hAnsi="Times New Roman" w:cs="Times New Roman"/>
          <w:sz w:val="24"/>
          <w:szCs w:val="24"/>
        </w:rPr>
        <w:t>,</w:t>
      </w:r>
      <w:r w:rsidR="00C2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07DF">
        <w:rPr>
          <w:rFonts w:ascii="Times New Roman" w:hAnsi="Times New Roman" w:cs="Times New Roman"/>
          <w:sz w:val="24"/>
          <w:szCs w:val="24"/>
        </w:rPr>
        <w:t xml:space="preserve"> contribuenti </w:t>
      </w:r>
      <w:r>
        <w:rPr>
          <w:rFonts w:ascii="Times New Roman" w:hAnsi="Times New Roman" w:cs="Times New Roman"/>
          <w:sz w:val="24"/>
          <w:szCs w:val="24"/>
        </w:rPr>
        <w:t xml:space="preserve">proponevano </w:t>
      </w:r>
      <w:r w:rsidRPr="000007DF">
        <w:rPr>
          <w:rFonts w:ascii="Times New Roman" w:hAnsi="Times New Roman" w:cs="Times New Roman"/>
          <w:sz w:val="24"/>
          <w:szCs w:val="24"/>
        </w:rPr>
        <w:t xml:space="preserve">regolare e tempestivo </w:t>
      </w:r>
      <w:r w:rsidRPr="007726C8">
        <w:rPr>
          <w:rFonts w:ascii="Times New Roman" w:hAnsi="Times New Roman" w:cs="Times New Roman"/>
          <w:b/>
          <w:sz w:val="24"/>
          <w:szCs w:val="24"/>
        </w:rPr>
        <w:t>atto di riassunzione</w:t>
      </w:r>
      <w:r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Pr="001A5072">
        <w:rPr>
          <w:rFonts w:ascii="Times New Roman" w:hAnsi="Times New Roman" w:cs="Times New Roman"/>
          <w:b/>
          <w:sz w:val="24"/>
          <w:szCs w:val="24"/>
        </w:rPr>
        <w:t xml:space="preserve">innanzi alla Commissione Tributaria Regionale </w:t>
      </w:r>
      <w:r w:rsidR="00642AD2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 w:rsidR="00073F57">
        <w:rPr>
          <w:rFonts w:ascii="Times New Roman" w:hAnsi="Times New Roman" w:cs="Times New Roman"/>
          <w:b/>
          <w:sz w:val="24"/>
          <w:szCs w:val="24"/>
        </w:rPr>
        <w:t>C</w:t>
      </w:r>
      <w:r w:rsidRPr="001A5072">
        <w:rPr>
          <w:rFonts w:ascii="Times New Roman" w:hAnsi="Times New Roman" w:cs="Times New Roman"/>
          <w:b/>
          <w:sz w:val="24"/>
          <w:szCs w:val="24"/>
        </w:rPr>
        <w:t>ampan</w:t>
      </w:r>
      <w:r w:rsidR="005449CD">
        <w:rPr>
          <w:rFonts w:ascii="Times New Roman" w:hAnsi="Times New Roman" w:cs="Times New Roman"/>
          <w:b/>
          <w:sz w:val="24"/>
          <w:szCs w:val="24"/>
        </w:rPr>
        <w:t>i</w:t>
      </w:r>
      <w:r w:rsidRPr="001A5072">
        <w:rPr>
          <w:rFonts w:ascii="Times New Roman" w:hAnsi="Times New Roman" w:cs="Times New Roman"/>
          <w:b/>
          <w:sz w:val="24"/>
          <w:szCs w:val="24"/>
        </w:rPr>
        <w:t>a,</w:t>
      </w:r>
      <w:r w:rsidRPr="000007DF">
        <w:rPr>
          <w:rFonts w:ascii="Times New Roman" w:hAnsi="Times New Roman" w:cs="Times New Roman"/>
          <w:sz w:val="24"/>
          <w:szCs w:val="24"/>
        </w:rPr>
        <w:t xml:space="preserve"> chiedendo il riesame della controversia sulla base dei principi stabiliti dalla Cassazione</w:t>
      </w:r>
      <w:r w:rsidR="00794E2D" w:rsidRPr="00794E2D">
        <w:rPr>
          <w:rFonts w:ascii="Times New Roman" w:hAnsi="Times New Roman" w:cs="Times New Roman"/>
          <w:sz w:val="24"/>
          <w:szCs w:val="24"/>
        </w:rPr>
        <w:t xml:space="preserve"> </w:t>
      </w:r>
      <w:r w:rsidR="00794E2D" w:rsidRPr="003156B5">
        <w:rPr>
          <w:rFonts w:ascii="Times New Roman" w:hAnsi="Times New Roman" w:cs="Times New Roman"/>
          <w:sz w:val="24"/>
          <w:szCs w:val="24"/>
        </w:rPr>
        <w:t>con</w:t>
      </w:r>
      <w:r w:rsidR="004E252E">
        <w:rPr>
          <w:rFonts w:ascii="Times New Roman" w:hAnsi="Times New Roman" w:cs="Times New Roman"/>
          <w:sz w:val="24"/>
          <w:szCs w:val="24"/>
        </w:rPr>
        <w:t xml:space="preserve"> la suddetta ordinanza</w:t>
      </w:r>
      <w:r w:rsidRPr="000007DF">
        <w:rPr>
          <w:rFonts w:ascii="Times New Roman" w:hAnsi="Times New Roman" w:cs="Times New Roman"/>
          <w:sz w:val="24"/>
          <w:szCs w:val="24"/>
        </w:rPr>
        <w:t>, sia in riferimento al fatto che la contestazione</w:t>
      </w:r>
      <w:r>
        <w:rPr>
          <w:rFonts w:ascii="Times New Roman" w:hAnsi="Times New Roman" w:cs="Times New Roman"/>
          <w:sz w:val="24"/>
          <w:szCs w:val="24"/>
        </w:rPr>
        <w:t xml:space="preserve"> sollevata dall’Ufficio nei propri atti difensivi</w:t>
      </w:r>
      <w:r w:rsidRPr="000007DF">
        <w:rPr>
          <w:rFonts w:ascii="Times New Roman" w:hAnsi="Times New Roman" w:cs="Times New Roman"/>
          <w:sz w:val="24"/>
          <w:szCs w:val="24"/>
        </w:rPr>
        <w:t xml:space="preserve"> riguardasse </w:t>
      </w:r>
      <w:r>
        <w:rPr>
          <w:rFonts w:ascii="Times New Roman" w:hAnsi="Times New Roman" w:cs="Times New Roman"/>
          <w:sz w:val="24"/>
          <w:szCs w:val="24"/>
        </w:rPr>
        <w:t xml:space="preserve">solo </w:t>
      </w:r>
      <w:r w:rsidRPr="000007DF">
        <w:rPr>
          <w:rFonts w:ascii="Times New Roman" w:hAnsi="Times New Roman" w:cs="Times New Roman"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>zioni soggettivamente inesistenti</w:t>
      </w:r>
      <w:r w:rsidR="00393B79">
        <w:rPr>
          <w:rFonts w:ascii="Times New Roman" w:hAnsi="Times New Roman" w:cs="Times New Roman"/>
          <w:sz w:val="24"/>
          <w:szCs w:val="24"/>
        </w:rPr>
        <w:t xml:space="preserve"> (e non anche</w:t>
      </w:r>
      <w:r w:rsidR="00393B79" w:rsidRPr="00393B79">
        <w:rPr>
          <w:rFonts w:ascii="Times New Roman" w:hAnsi="Times New Roman" w:cs="Times New Roman"/>
          <w:sz w:val="24"/>
          <w:szCs w:val="24"/>
        </w:rPr>
        <w:t xml:space="preserve"> oggettivamente inesistenti</w:t>
      </w:r>
      <w:r w:rsidR="00393B79">
        <w:rPr>
          <w:rFonts w:ascii="Times New Roman" w:hAnsi="Times New Roman" w:cs="Times New Roman"/>
          <w:sz w:val="24"/>
          <w:szCs w:val="24"/>
        </w:rPr>
        <w:t>)</w:t>
      </w:r>
      <w:r w:rsidRPr="000007DF">
        <w:rPr>
          <w:rFonts w:ascii="Times New Roman" w:hAnsi="Times New Roman" w:cs="Times New Roman"/>
          <w:sz w:val="24"/>
          <w:szCs w:val="24"/>
        </w:rPr>
        <w:t xml:space="preserve">, sia in riferimento alla rideterminazione delle sanzioni in caso di accoglimento solo parziale delle motivazioni di </w:t>
      </w:r>
      <w:r w:rsidRPr="000007DF">
        <w:rPr>
          <w:rFonts w:ascii="Times New Roman" w:hAnsi="Times New Roman" w:cs="Times New Roman"/>
          <w:sz w:val="24"/>
          <w:szCs w:val="24"/>
        </w:rPr>
        <w:lastRenderedPageBreak/>
        <w:t>parte.</w:t>
      </w:r>
      <w:r>
        <w:rPr>
          <w:rFonts w:ascii="Times New Roman" w:hAnsi="Times New Roman" w:cs="Times New Roman"/>
          <w:sz w:val="24"/>
          <w:szCs w:val="24"/>
        </w:rPr>
        <w:t xml:space="preserve"> Peraltro</w:t>
      </w:r>
      <w:r w:rsidRPr="000007DF">
        <w:rPr>
          <w:rFonts w:ascii="Times New Roman" w:hAnsi="Times New Roman" w:cs="Times New Roman"/>
          <w:sz w:val="24"/>
          <w:szCs w:val="24"/>
        </w:rPr>
        <w:t xml:space="preserve">, la società insisteva nel sostenere di avere dimostrato la veridicità delle operazioni </w:t>
      </w:r>
      <w:r>
        <w:rPr>
          <w:rFonts w:ascii="Times New Roman" w:hAnsi="Times New Roman" w:cs="Times New Roman"/>
          <w:sz w:val="24"/>
          <w:szCs w:val="24"/>
        </w:rPr>
        <w:t xml:space="preserve">in contestazione </w:t>
      </w:r>
      <w:r w:rsidRPr="000007DF">
        <w:rPr>
          <w:rFonts w:ascii="Times New Roman" w:hAnsi="Times New Roman" w:cs="Times New Roman"/>
          <w:sz w:val="24"/>
          <w:szCs w:val="24"/>
        </w:rPr>
        <w:t>fattura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0007DF">
        <w:rPr>
          <w:rFonts w:ascii="Times New Roman" w:hAnsi="Times New Roman" w:cs="Times New Roman"/>
          <w:sz w:val="24"/>
          <w:szCs w:val="24"/>
        </w:rPr>
        <w:t xml:space="preserve"> dalla ditta </w:t>
      </w:r>
      <w:r>
        <w:rPr>
          <w:rFonts w:ascii="Times New Roman" w:hAnsi="Times New Roman" w:cs="Times New Roman"/>
          <w:sz w:val="24"/>
          <w:szCs w:val="24"/>
        </w:rPr>
        <w:t>elettronica,</w:t>
      </w:r>
      <w:r w:rsidRPr="000007DF">
        <w:rPr>
          <w:rFonts w:ascii="Times New Roman" w:hAnsi="Times New Roman" w:cs="Times New Roman"/>
          <w:sz w:val="24"/>
          <w:szCs w:val="24"/>
        </w:rPr>
        <w:t xml:space="preserve"> l'avve</w:t>
      </w:r>
      <w:r>
        <w:rPr>
          <w:rFonts w:ascii="Times New Roman" w:hAnsi="Times New Roman" w:cs="Times New Roman"/>
          <w:sz w:val="24"/>
          <w:szCs w:val="24"/>
        </w:rPr>
        <w:t xml:space="preserve">nuto pagamento delle stesse </w:t>
      </w:r>
      <w:r w:rsidRPr="000007DF">
        <w:rPr>
          <w:rFonts w:ascii="Times New Roman" w:hAnsi="Times New Roman" w:cs="Times New Roman"/>
          <w:sz w:val="24"/>
          <w:szCs w:val="24"/>
        </w:rPr>
        <w:t>mediante pagamenti tracciati e la regolare contabilizzazione di tali fatture, con la conseguente deducibilità dei costi sostenuti.</w:t>
      </w:r>
    </w:p>
    <w:p w:rsidR="00D16CE8" w:rsidRPr="000007DF" w:rsidRDefault="00D16CE8" w:rsidP="00D16CE8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>Ancora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7DF">
        <w:rPr>
          <w:rFonts w:ascii="Times New Roman" w:hAnsi="Times New Roman" w:cs="Times New Roman"/>
          <w:sz w:val="24"/>
          <w:szCs w:val="24"/>
        </w:rPr>
        <w:t xml:space="preserve"> la società si soffermava sul fatto che </w:t>
      </w:r>
      <w:r>
        <w:rPr>
          <w:rFonts w:ascii="Times New Roman" w:hAnsi="Times New Roman" w:cs="Times New Roman"/>
          <w:sz w:val="24"/>
          <w:szCs w:val="24"/>
        </w:rPr>
        <w:t xml:space="preserve">nonostante l’avvenuto deposito di copiosa documentazione contabile (assegni e fatture) idonea a dimostrare la veridicità delle operazioni commerciali in contestazione, </w:t>
      </w:r>
      <w:r w:rsidRPr="00642AD2">
        <w:rPr>
          <w:rFonts w:ascii="Times New Roman" w:hAnsi="Times New Roman" w:cs="Times New Roman"/>
          <w:b/>
          <w:sz w:val="24"/>
          <w:szCs w:val="24"/>
        </w:rPr>
        <w:t>l</w:t>
      </w:r>
      <w:r w:rsidR="00642AD2" w:rsidRPr="00642AD2">
        <w:rPr>
          <w:rFonts w:ascii="Times New Roman" w:hAnsi="Times New Roman" w:cs="Times New Roman"/>
          <w:b/>
          <w:sz w:val="24"/>
          <w:szCs w:val="24"/>
        </w:rPr>
        <w:t>’A</w:t>
      </w:r>
      <w:r w:rsidRPr="00642AD2">
        <w:rPr>
          <w:rFonts w:ascii="Times New Roman" w:hAnsi="Times New Roman" w:cs="Times New Roman"/>
          <w:b/>
          <w:sz w:val="24"/>
          <w:szCs w:val="24"/>
        </w:rPr>
        <w:t>genzia delle Entrate non aveva prodotto nessuna concreta prova in relazione a una eventuale conoscibilità da parte della contribuente di partecipare a una falsa fatturazione</w:t>
      </w:r>
      <w:r w:rsidR="00393B79" w:rsidRPr="00642AD2">
        <w:rPr>
          <w:rFonts w:ascii="Times New Roman" w:hAnsi="Times New Roman" w:cs="Times New Roman"/>
          <w:b/>
          <w:sz w:val="24"/>
          <w:szCs w:val="24"/>
        </w:rPr>
        <w:t xml:space="preserve"> compiuta dalla ditta elettronica</w:t>
      </w:r>
      <w:r w:rsidRPr="0000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3B79">
        <w:rPr>
          <w:rFonts w:ascii="Times New Roman" w:hAnsi="Times New Roman" w:cs="Times New Roman"/>
          <w:sz w:val="24"/>
          <w:szCs w:val="24"/>
        </w:rPr>
        <w:t>ritenuto</w:t>
      </w:r>
      <w:r>
        <w:rPr>
          <w:rFonts w:ascii="Times New Roman" w:hAnsi="Times New Roman" w:cs="Times New Roman"/>
          <w:sz w:val="24"/>
          <w:szCs w:val="24"/>
        </w:rPr>
        <w:t xml:space="preserve"> soggetto nullatenente e con una struttura commerciale inidonea) </w:t>
      </w:r>
      <w:r w:rsidRPr="000007DF">
        <w:rPr>
          <w:rFonts w:ascii="Times New Roman" w:hAnsi="Times New Roman" w:cs="Times New Roman"/>
          <w:sz w:val="24"/>
          <w:szCs w:val="24"/>
        </w:rPr>
        <w:t>e che, di conseguenza, non poteva essere negata la sua buona fede nei rapporti intercorsi con la ditta fornitrice, sostenendo quindi la piena detraibilità anche dell’iva versata sugli acquisti medesimi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CE8" w:rsidRPr="00D16CE8" w:rsidRDefault="00D16CE8" w:rsidP="00D16CE8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>Con proprie controdeduzioni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7DF">
        <w:rPr>
          <w:rFonts w:ascii="Times New Roman" w:hAnsi="Times New Roman" w:cs="Times New Roman"/>
          <w:sz w:val="24"/>
          <w:szCs w:val="24"/>
        </w:rPr>
        <w:t xml:space="preserve"> la resistente Agenzia si costituiva in giudizio, sostenendo che la contestazione riguardava </w:t>
      </w:r>
      <w:r>
        <w:rPr>
          <w:rFonts w:ascii="Times New Roman" w:hAnsi="Times New Roman" w:cs="Times New Roman"/>
          <w:sz w:val="24"/>
          <w:szCs w:val="24"/>
        </w:rPr>
        <w:t xml:space="preserve">anche operazioni </w:t>
      </w:r>
      <w:r w:rsidRPr="000007DF">
        <w:rPr>
          <w:rFonts w:ascii="Times New Roman" w:hAnsi="Times New Roman" w:cs="Times New Roman"/>
          <w:sz w:val="24"/>
          <w:szCs w:val="24"/>
        </w:rPr>
        <w:t>oggettivamente inesistenti</w:t>
      </w:r>
      <w:r w:rsidR="009144F5">
        <w:rPr>
          <w:rFonts w:ascii="Times New Roman" w:hAnsi="Times New Roman" w:cs="Times New Roman"/>
          <w:sz w:val="24"/>
          <w:szCs w:val="24"/>
        </w:rPr>
        <w:t xml:space="preserve"> </w:t>
      </w:r>
      <w:r w:rsidRPr="000007DF">
        <w:rPr>
          <w:rFonts w:ascii="Times New Roman" w:hAnsi="Times New Roman" w:cs="Times New Roman"/>
          <w:sz w:val="24"/>
          <w:szCs w:val="24"/>
        </w:rPr>
        <w:t xml:space="preserve">e che,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726C8">
        <w:rPr>
          <w:rFonts w:ascii="Times New Roman" w:hAnsi="Times New Roman" w:cs="Times New Roman"/>
          <w:i/>
          <w:sz w:val="24"/>
          <w:szCs w:val="24"/>
        </w:rPr>
        <w:t>prescindere dalla sottile discriminazione tra operazioni oggettivamente o soggettivamente inesistenti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007DF">
        <w:rPr>
          <w:rFonts w:ascii="Times New Roman" w:hAnsi="Times New Roman" w:cs="Times New Roman"/>
          <w:sz w:val="24"/>
          <w:szCs w:val="24"/>
        </w:rPr>
        <w:t>, era stata dimostrata l’insussistenza dei costi recuperati a tassazione e relativi alle prestazioni di servizio fatturate dalla ditta elettronica.</w:t>
      </w:r>
    </w:p>
    <w:p w:rsidR="004E4CCC" w:rsidRDefault="00D16CE8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Ebbene, s</w:t>
      </w:r>
      <w:r w:rsidR="006D1939" w:rsidRPr="000007DF">
        <w:rPr>
          <w:rFonts w:ascii="Times New Roman" w:hAnsi="Times New Roman" w:cs="Times New Roman"/>
          <w:sz w:val="24"/>
          <w:szCs w:val="24"/>
        </w:rPr>
        <w:t xml:space="preserve">ulla base </w:t>
      </w:r>
      <w:r w:rsidR="001A5072">
        <w:rPr>
          <w:rFonts w:ascii="Times New Roman" w:hAnsi="Times New Roman" w:cs="Times New Roman"/>
          <w:sz w:val="24"/>
          <w:szCs w:val="24"/>
        </w:rPr>
        <w:t>delle suddette</w:t>
      </w:r>
      <w:r w:rsidR="006D1939" w:rsidRPr="000007DF">
        <w:rPr>
          <w:rFonts w:ascii="Times New Roman" w:hAnsi="Times New Roman" w:cs="Times New Roman"/>
          <w:sz w:val="24"/>
          <w:szCs w:val="24"/>
        </w:rPr>
        <w:t xml:space="preserve"> argomentazioni</w:t>
      </w:r>
      <w:r w:rsidR="001A5072">
        <w:rPr>
          <w:rFonts w:ascii="Times New Roman" w:hAnsi="Times New Roman" w:cs="Times New Roman"/>
          <w:sz w:val="24"/>
          <w:szCs w:val="24"/>
        </w:rPr>
        <w:t>,</w:t>
      </w:r>
      <w:r w:rsidR="005071B9" w:rsidRPr="000007DF">
        <w:rPr>
          <w:rFonts w:ascii="Times New Roman" w:hAnsi="Times New Roman" w:cs="Times New Roman"/>
          <w:sz w:val="24"/>
          <w:szCs w:val="24"/>
        </w:rPr>
        <w:t xml:space="preserve"> i</w:t>
      </w:r>
      <w:r w:rsidR="00AC1452"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="00587499" w:rsidRPr="000007DF">
        <w:rPr>
          <w:rFonts w:ascii="Times New Roman" w:hAnsi="Times New Roman" w:cs="Times New Roman"/>
          <w:sz w:val="24"/>
          <w:szCs w:val="24"/>
        </w:rPr>
        <w:t>G</w:t>
      </w:r>
      <w:r w:rsidR="00AC1452" w:rsidRPr="000007DF">
        <w:rPr>
          <w:rFonts w:ascii="Times New Roman" w:hAnsi="Times New Roman" w:cs="Times New Roman"/>
          <w:sz w:val="24"/>
          <w:szCs w:val="24"/>
        </w:rPr>
        <w:t xml:space="preserve">iudici della </w:t>
      </w:r>
      <w:r w:rsidR="00D97801" w:rsidRPr="000007DF">
        <w:rPr>
          <w:rFonts w:ascii="Times New Roman" w:hAnsi="Times New Roman" w:cs="Times New Roman"/>
          <w:b/>
          <w:sz w:val="24"/>
          <w:szCs w:val="24"/>
        </w:rPr>
        <w:t>27˚</w:t>
      </w:r>
      <w:r w:rsidR="00544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452" w:rsidRPr="000007DF">
        <w:rPr>
          <w:rFonts w:ascii="Times New Roman" w:hAnsi="Times New Roman" w:cs="Times New Roman"/>
          <w:b/>
          <w:sz w:val="24"/>
          <w:szCs w:val="24"/>
        </w:rPr>
        <w:t>sezione della</w:t>
      </w:r>
      <w:r w:rsidR="005071B9" w:rsidRPr="0000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B9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Commissione Tributaria </w:t>
      </w:r>
      <w:r w:rsidR="00D97801" w:rsidRPr="000007DF">
        <w:rPr>
          <w:rFonts w:ascii="Times New Roman" w:hAnsi="Times New Roman" w:cs="Times New Roman"/>
          <w:b/>
          <w:bCs/>
          <w:sz w:val="24"/>
          <w:szCs w:val="24"/>
        </w:rPr>
        <w:t>Regionale - Campania</w:t>
      </w:r>
      <w:r w:rsidR="005071B9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1452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D97801" w:rsidRPr="000007D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5071B9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801" w:rsidRPr="000007DF">
        <w:rPr>
          <w:rFonts w:ascii="Times New Roman" w:hAnsi="Times New Roman" w:cs="Times New Roman"/>
          <w:b/>
          <w:bCs/>
          <w:sz w:val="24"/>
          <w:szCs w:val="24"/>
        </w:rPr>
        <w:t>febbraio 2019</w:t>
      </w:r>
      <w:r w:rsidR="005071B9" w:rsidRPr="000007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1452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 con l</w:t>
      </w:r>
      <w:r w:rsidR="00D97801" w:rsidRPr="000007D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1452" w:rsidRPr="0000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6C8">
        <w:rPr>
          <w:rFonts w:ascii="Times New Roman" w:hAnsi="Times New Roman" w:cs="Times New Roman"/>
          <w:b/>
          <w:bCs/>
          <w:sz w:val="24"/>
          <w:szCs w:val="24"/>
        </w:rPr>
        <w:t>sentenza n. 1114</w:t>
      </w:r>
      <w:r w:rsidR="0016034A" w:rsidRPr="000007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7499" w:rsidRPr="0000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9CD">
        <w:rPr>
          <w:rFonts w:ascii="Times New Roman" w:hAnsi="Times New Roman" w:cs="Times New Roman"/>
          <w:b/>
          <w:sz w:val="24"/>
          <w:szCs w:val="24"/>
        </w:rPr>
        <w:t xml:space="preserve">accoglievano </w:t>
      </w:r>
      <w:r w:rsidR="00AC1452" w:rsidRPr="005449CD">
        <w:rPr>
          <w:rFonts w:ascii="Times New Roman" w:hAnsi="Times New Roman" w:cs="Times New Roman"/>
          <w:b/>
          <w:sz w:val="24"/>
          <w:szCs w:val="24"/>
        </w:rPr>
        <w:t>la tesi della ricorrente</w:t>
      </w:r>
      <w:r w:rsidR="00A61D80" w:rsidRPr="005449CD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16034A" w:rsidRPr="005449CD">
        <w:rPr>
          <w:rFonts w:ascii="Times New Roman" w:hAnsi="Times New Roman" w:cs="Times New Roman"/>
          <w:b/>
          <w:sz w:val="24"/>
          <w:szCs w:val="24"/>
        </w:rPr>
        <w:t>annulla</w:t>
      </w:r>
      <w:r w:rsidRPr="005449CD">
        <w:rPr>
          <w:rFonts w:ascii="Times New Roman" w:hAnsi="Times New Roman" w:cs="Times New Roman"/>
          <w:b/>
          <w:sz w:val="24"/>
          <w:szCs w:val="24"/>
        </w:rPr>
        <w:t>vano</w:t>
      </w:r>
      <w:r w:rsidR="0016034A" w:rsidRPr="005449CD">
        <w:rPr>
          <w:rFonts w:ascii="Times New Roman" w:hAnsi="Times New Roman" w:cs="Times New Roman"/>
          <w:b/>
          <w:sz w:val="24"/>
          <w:szCs w:val="24"/>
        </w:rPr>
        <w:t xml:space="preserve"> totalmente </w:t>
      </w:r>
      <w:r w:rsidR="007726C8" w:rsidRPr="005449C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6034A" w:rsidRPr="005449CD">
        <w:rPr>
          <w:rFonts w:ascii="Times New Roman" w:hAnsi="Times New Roman" w:cs="Times New Roman"/>
          <w:b/>
          <w:sz w:val="24"/>
          <w:szCs w:val="24"/>
        </w:rPr>
        <w:t xml:space="preserve">sei avvisi di accertamento </w:t>
      </w:r>
      <w:r w:rsidR="007726C8" w:rsidRPr="005449CD">
        <w:rPr>
          <w:rFonts w:ascii="Times New Roman" w:hAnsi="Times New Roman" w:cs="Times New Roman"/>
          <w:b/>
          <w:sz w:val="24"/>
          <w:szCs w:val="24"/>
        </w:rPr>
        <w:t>impugnati</w:t>
      </w:r>
      <w:r w:rsidR="007726C8">
        <w:rPr>
          <w:rFonts w:ascii="Times New Roman" w:hAnsi="Times New Roman" w:cs="Times New Roman"/>
          <w:sz w:val="24"/>
          <w:szCs w:val="24"/>
        </w:rPr>
        <w:t xml:space="preserve"> </w:t>
      </w:r>
      <w:r w:rsidR="0016034A" w:rsidRPr="000007DF">
        <w:rPr>
          <w:rFonts w:ascii="Times New Roman" w:hAnsi="Times New Roman" w:cs="Times New Roman"/>
          <w:sz w:val="24"/>
          <w:szCs w:val="24"/>
        </w:rPr>
        <w:t xml:space="preserve">sulla scorta del fatto che: </w:t>
      </w:r>
    </w:p>
    <w:p w:rsidR="00CD683D" w:rsidRDefault="00CD683D" w:rsidP="00CD683D">
      <w:pPr>
        <w:pStyle w:val="Corpotesto"/>
        <w:numPr>
          <w:ilvl w:val="0"/>
          <w:numId w:val="5"/>
        </w:numPr>
        <w:spacing w:after="0" w:line="360" w:lineRule="auto"/>
        <w:ind w:right="424" w:hanging="11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bCs/>
          <w:sz w:val="24"/>
          <w:szCs w:val="24"/>
        </w:rPr>
        <w:t>l’Ufficio, nei su</w:t>
      </w:r>
      <w:r w:rsidR="00915CF3">
        <w:rPr>
          <w:rFonts w:ascii="Times New Roman" w:hAnsi="Times New Roman" w:cs="Times New Roman"/>
          <w:bCs/>
          <w:sz w:val="24"/>
          <w:szCs w:val="24"/>
        </w:rPr>
        <w:t>o</w:t>
      </w:r>
      <w:r w:rsidRPr="00CD683D">
        <w:rPr>
          <w:rFonts w:ascii="Times New Roman" w:hAnsi="Times New Roman" w:cs="Times New Roman"/>
          <w:bCs/>
          <w:sz w:val="24"/>
          <w:szCs w:val="24"/>
        </w:rPr>
        <w:t xml:space="preserve">i precedenti atti difensivi, aveva sempre ristretto la contestazione </w:t>
      </w:r>
      <w:r>
        <w:rPr>
          <w:rFonts w:ascii="Times New Roman" w:hAnsi="Times New Roman" w:cs="Times New Roman"/>
          <w:bCs/>
          <w:sz w:val="24"/>
          <w:szCs w:val="24"/>
        </w:rPr>
        <w:t>al</w:t>
      </w:r>
      <w:r w:rsidRPr="00CD683D">
        <w:rPr>
          <w:rFonts w:ascii="Times New Roman" w:hAnsi="Times New Roman" w:cs="Times New Roman"/>
          <w:bCs/>
          <w:sz w:val="24"/>
          <w:szCs w:val="24"/>
        </w:rPr>
        <w:t xml:space="preserve"> campo delle </w:t>
      </w:r>
      <w:r>
        <w:rPr>
          <w:rFonts w:ascii="Times New Roman" w:hAnsi="Times New Roman" w:cs="Times New Roman"/>
          <w:bCs/>
          <w:sz w:val="24"/>
          <w:szCs w:val="24"/>
        </w:rPr>
        <w:t xml:space="preserve">sole </w:t>
      </w:r>
      <w:r w:rsidRPr="00CD683D">
        <w:rPr>
          <w:rFonts w:ascii="Times New Roman" w:hAnsi="Times New Roman" w:cs="Times New Roman"/>
          <w:bCs/>
          <w:sz w:val="24"/>
          <w:szCs w:val="24"/>
        </w:rPr>
        <w:t>operazioni soggettivamente inesistenti</w:t>
      </w:r>
      <w:r>
        <w:rPr>
          <w:rFonts w:ascii="Times New Roman" w:hAnsi="Times New Roman" w:cs="Times New Roman"/>
          <w:bCs/>
          <w:sz w:val="24"/>
          <w:szCs w:val="24"/>
        </w:rPr>
        <w:t xml:space="preserve"> e, dunque, </w:t>
      </w:r>
      <w:r w:rsidR="0016034A" w:rsidRPr="000007DF">
        <w:rPr>
          <w:rFonts w:ascii="Times New Roman" w:hAnsi="Times New Roman" w:cs="Times New Roman"/>
          <w:sz w:val="24"/>
          <w:szCs w:val="24"/>
        </w:rPr>
        <w:t xml:space="preserve">&lt;&lt; </w:t>
      </w:r>
      <w:r w:rsidR="00D32D0C">
        <w:rPr>
          <w:rFonts w:ascii="Times New Roman" w:hAnsi="Times New Roman" w:cs="Times New Roman"/>
          <w:sz w:val="24"/>
          <w:szCs w:val="24"/>
        </w:rPr>
        <w:t xml:space="preserve">(…) </w:t>
      </w:r>
      <w:r w:rsidR="0002234B" w:rsidRPr="000007DF">
        <w:rPr>
          <w:rFonts w:ascii="Times New Roman" w:hAnsi="Times New Roman" w:cs="Times New Roman"/>
          <w:b/>
          <w:i/>
          <w:sz w:val="24"/>
          <w:szCs w:val="24"/>
        </w:rPr>
        <w:t>non si può condividere la tesi esposta dalla resistente Agenzia, secondo la quale sarebbe ininfluente la discriminazione formale tra operazioni oggettivamente inesistenti o soggettivamente inesistenti</w:t>
      </w:r>
      <w:r w:rsidR="00BB2E00" w:rsidRPr="000007DF">
        <w:rPr>
          <w:rFonts w:ascii="Times New Roman" w:hAnsi="Times New Roman" w:cs="Times New Roman"/>
          <w:sz w:val="24"/>
          <w:szCs w:val="24"/>
        </w:rPr>
        <w:t xml:space="preserve"> &gt;&gt;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34B" w:rsidRPr="00CD683D" w:rsidRDefault="00BB2E00" w:rsidP="00CD683D">
      <w:pPr>
        <w:pStyle w:val="Corpotesto"/>
        <w:numPr>
          <w:ilvl w:val="0"/>
          <w:numId w:val="5"/>
        </w:numPr>
        <w:spacing w:after="0" w:line="360" w:lineRule="auto"/>
        <w:ind w:right="424" w:hanging="11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&lt;&lt; </w:t>
      </w:r>
      <w:r w:rsidR="00D32D0C" w:rsidRPr="00CD683D">
        <w:rPr>
          <w:rFonts w:ascii="Times New Roman" w:hAnsi="Times New Roman" w:cs="Times New Roman"/>
          <w:sz w:val="24"/>
          <w:szCs w:val="24"/>
        </w:rPr>
        <w:t>(</w:t>
      </w:r>
      <w:r w:rsidRPr="00CD683D">
        <w:rPr>
          <w:rFonts w:ascii="Times New Roman" w:hAnsi="Times New Roman" w:cs="Times New Roman"/>
          <w:sz w:val="24"/>
          <w:szCs w:val="24"/>
        </w:rPr>
        <w:t>…</w:t>
      </w:r>
      <w:r w:rsidR="00D32D0C" w:rsidRPr="00CD683D">
        <w:rPr>
          <w:rFonts w:ascii="Times New Roman" w:hAnsi="Times New Roman" w:cs="Times New Roman"/>
          <w:sz w:val="24"/>
          <w:szCs w:val="24"/>
        </w:rPr>
        <w:t>)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02234B" w:rsidRPr="00CD683D">
        <w:rPr>
          <w:rFonts w:ascii="Times New Roman" w:hAnsi="Times New Roman" w:cs="Times New Roman"/>
          <w:b/>
          <w:i/>
          <w:sz w:val="24"/>
          <w:szCs w:val="24"/>
        </w:rPr>
        <w:t>non risulta, nel caso di specie, che l’ufficio accertatore abbia mai concretamente contestato alla contribuente una qualsiasi consapevole connivenza con la ditta fornitrice atta a far ritenere che la contribuente medesima fosse stato in qualche modo consapevole di partecipare ad una frode fiscale ai fini dell'IVA</w:t>
      </w:r>
      <w:r w:rsidR="0002234B" w:rsidRPr="00CD683D">
        <w:rPr>
          <w:rFonts w:ascii="Times New Roman" w:hAnsi="Times New Roman" w:cs="Times New Roman"/>
          <w:sz w:val="24"/>
          <w:szCs w:val="24"/>
        </w:rPr>
        <w:t>.</w:t>
      </w:r>
      <w:r w:rsidRPr="00CD683D">
        <w:rPr>
          <w:rFonts w:ascii="Times New Roman" w:hAnsi="Times New Roman" w:cs="Times New Roman"/>
          <w:sz w:val="24"/>
          <w:szCs w:val="24"/>
        </w:rPr>
        <w:t>&gt;&gt;</w:t>
      </w:r>
    </w:p>
    <w:p w:rsidR="00BB2E00" w:rsidRPr="000007DF" w:rsidRDefault="00BB2E00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>Invero,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="00D32D0C">
        <w:rPr>
          <w:rFonts w:ascii="Times New Roman" w:hAnsi="Times New Roman" w:cs="Times New Roman"/>
          <w:sz w:val="24"/>
          <w:szCs w:val="24"/>
        </w:rPr>
        <w:t xml:space="preserve">a parere del Collegio, 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la contribuente </w:t>
      </w:r>
      <w:r w:rsidR="00D32D0C">
        <w:rPr>
          <w:rFonts w:ascii="Times New Roman" w:hAnsi="Times New Roman" w:cs="Times New Roman"/>
          <w:sz w:val="24"/>
          <w:szCs w:val="24"/>
        </w:rPr>
        <w:t>aveva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depositato agli atti le copie delle fatture ricevute dalla</w:t>
      </w:r>
      <w:r w:rsidR="00D32D0C">
        <w:rPr>
          <w:rFonts w:ascii="Times New Roman" w:hAnsi="Times New Roman" w:cs="Times New Roman"/>
          <w:sz w:val="24"/>
          <w:szCs w:val="24"/>
        </w:rPr>
        <w:t xml:space="preserve"> ditta elettronica e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dalle quali si poteva rilevare la data di emissione, la natura </w:t>
      </w:r>
      <w:r w:rsidR="0002234B" w:rsidRPr="000007DF">
        <w:rPr>
          <w:rFonts w:ascii="Times New Roman" w:hAnsi="Times New Roman" w:cs="Times New Roman"/>
          <w:sz w:val="24"/>
          <w:szCs w:val="24"/>
        </w:rPr>
        <w:lastRenderedPageBreak/>
        <w:t>delle prestazioni ricevute</w:t>
      </w:r>
      <w:r w:rsidR="00D32D0C">
        <w:rPr>
          <w:rFonts w:ascii="Times New Roman" w:hAnsi="Times New Roman" w:cs="Times New Roman"/>
          <w:sz w:val="24"/>
          <w:szCs w:val="24"/>
        </w:rPr>
        <w:t xml:space="preserve"> </w:t>
      </w:r>
      <w:r w:rsidR="0002234B" w:rsidRPr="000007DF">
        <w:rPr>
          <w:rFonts w:ascii="Times New Roman" w:hAnsi="Times New Roman" w:cs="Times New Roman"/>
          <w:sz w:val="24"/>
          <w:szCs w:val="24"/>
        </w:rPr>
        <w:t>e l’indicazione delle modalità di pagamento, dimostrando inoltre l’avvenuto pagamento di tali</w:t>
      </w:r>
      <w:r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="0002234B" w:rsidRPr="000007DF">
        <w:rPr>
          <w:rFonts w:ascii="Times New Roman" w:hAnsi="Times New Roman" w:cs="Times New Roman"/>
          <w:sz w:val="24"/>
          <w:szCs w:val="24"/>
        </w:rPr>
        <w:t>fatture mediante mezzi tracciati</w:t>
      </w:r>
      <w:r w:rsidRPr="00000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34B" w:rsidRDefault="00642AD2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Evidenzia</w:t>
      </w:r>
      <w:r w:rsidR="009144F5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no ancora i giudici che</w:t>
      </w:r>
      <w:r w:rsidR="00D32D0C">
        <w:rPr>
          <w:rFonts w:ascii="Times New Roman" w:hAnsi="Times New Roman" w:cs="Times New Roman"/>
          <w:sz w:val="24"/>
          <w:szCs w:val="24"/>
        </w:rPr>
        <w:t>,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la contribuente </w:t>
      </w:r>
      <w:r w:rsidR="00D32D0C">
        <w:rPr>
          <w:rFonts w:ascii="Times New Roman" w:hAnsi="Times New Roman" w:cs="Times New Roman"/>
          <w:sz w:val="24"/>
          <w:szCs w:val="24"/>
        </w:rPr>
        <w:t>av</w:t>
      </w:r>
      <w:r w:rsidR="009144F5">
        <w:rPr>
          <w:rFonts w:ascii="Times New Roman" w:hAnsi="Times New Roman" w:cs="Times New Roman"/>
          <w:sz w:val="24"/>
          <w:szCs w:val="24"/>
        </w:rPr>
        <w:t>eva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dimostrato, mediante deposito di stralcio delle scritture contabili, di avere correttamente contabilizzato tali fatture e di avere</w:t>
      </w:r>
      <w:r w:rsidR="00D32D0C">
        <w:rPr>
          <w:rFonts w:ascii="Times New Roman" w:hAnsi="Times New Roman" w:cs="Times New Roman"/>
          <w:sz w:val="24"/>
          <w:szCs w:val="24"/>
        </w:rPr>
        <w:t>,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inoltre</w:t>
      </w:r>
      <w:r w:rsidR="00D32D0C">
        <w:rPr>
          <w:rFonts w:ascii="Times New Roman" w:hAnsi="Times New Roman" w:cs="Times New Roman"/>
          <w:sz w:val="24"/>
          <w:szCs w:val="24"/>
        </w:rPr>
        <w:t>,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correttamente contabilizzato le fatture attive emesse in relazione ai ricavi conseguiti anche in seguito all</w:t>
      </w:r>
      <w:r w:rsidR="00915CF3">
        <w:rPr>
          <w:rFonts w:ascii="Times New Roman" w:hAnsi="Times New Roman" w:cs="Times New Roman"/>
          <w:sz w:val="24"/>
          <w:szCs w:val="24"/>
        </w:rPr>
        <w:t>’</w:t>
      </w:r>
      <w:r w:rsidR="0002234B" w:rsidRPr="000007DF">
        <w:rPr>
          <w:rFonts w:ascii="Times New Roman" w:hAnsi="Times New Roman" w:cs="Times New Roman"/>
          <w:sz w:val="24"/>
          <w:szCs w:val="24"/>
        </w:rPr>
        <w:t>avvenuta informatizzazione dei propri archivi mediante le prestazioni ricevute dalla ditta fornitrice.</w:t>
      </w:r>
    </w:p>
    <w:p w:rsidR="005449CD" w:rsidRDefault="00D32D0C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sostanza, alla luce di tanto, emergeva come</w:t>
      </w:r>
      <w:r w:rsidR="005449CD">
        <w:rPr>
          <w:rFonts w:ascii="Times New Roman" w:hAnsi="Times New Roman" w:cs="Times New Roman"/>
          <w:sz w:val="24"/>
          <w:szCs w:val="24"/>
        </w:rPr>
        <w:t>:</w:t>
      </w:r>
    </w:p>
    <w:p w:rsidR="005449CD" w:rsidRPr="005449CD" w:rsidRDefault="005449CD" w:rsidP="005449CD">
      <w:pPr>
        <w:pStyle w:val="Corpotesto"/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un lato, </w:t>
      </w:r>
      <w:r w:rsidR="00D32D0C">
        <w:rPr>
          <w:rFonts w:ascii="Times New Roman" w:hAnsi="Times New Roman" w:cs="Times New Roman"/>
          <w:sz w:val="24"/>
          <w:szCs w:val="24"/>
        </w:rPr>
        <w:t xml:space="preserve">la società contribuente avesse </w:t>
      </w:r>
      <w:r>
        <w:rPr>
          <w:rFonts w:ascii="Times New Roman" w:hAnsi="Times New Roman" w:cs="Times New Roman"/>
          <w:sz w:val="24"/>
          <w:szCs w:val="24"/>
        </w:rPr>
        <w:t xml:space="preserve">realmente e </w:t>
      </w:r>
      <w:r w:rsidR="00D32D0C">
        <w:rPr>
          <w:rFonts w:ascii="Times New Roman" w:hAnsi="Times New Roman" w:cs="Times New Roman"/>
          <w:sz w:val="24"/>
          <w:szCs w:val="24"/>
        </w:rPr>
        <w:t xml:space="preserve">correttamente </w:t>
      </w:r>
      <w:r w:rsidR="00CD683D">
        <w:rPr>
          <w:rFonts w:ascii="Times New Roman" w:hAnsi="Times New Roman" w:cs="Times New Roman"/>
          <w:sz w:val="24"/>
          <w:szCs w:val="24"/>
        </w:rPr>
        <w:t xml:space="preserve">posto in essere </w:t>
      </w:r>
      <w:r w:rsidR="00D32D0C">
        <w:rPr>
          <w:rFonts w:ascii="Times New Roman" w:hAnsi="Times New Roman" w:cs="Times New Roman"/>
          <w:sz w:val="24"/>
          <w:szCs w:val="24"/>
        </w:rPr>
        <w:t xml:space="preserve">le operazioni </w:t>
      </w:r>
      <w:r w:rsidR="00D32D0C" w:rsidRPr="00CD683D">
        <w:rPr>
          <w:rFonts w:ascii="Times New Roman" w:hAnsi="Times New Roman" w:cs="Times New Roman"/>
          <w:i/>
          <w:sz w:val="24"/>
          <w:szCs w:val="24"/>
        </w:rPr>
        <w:t>de quibus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449CD" w:rsidRDefault="005449CD" w:rsidP="005449CD">
      <w:pPr>
        <w:pStyle w:val="Corpotesto"/>
        <w:numPr>
          <w:ilvl w:val="0"/>
          <w:numId w:val="5"/>
        </w:numPr>
        <w:spacing w:after="0" w:line="360" w:lineRule="auto"/>
        <w:ind w:left="113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dall’altro, </w:t>
      </w:r>
      <w:r w:rsidR="00D32D0C">
        <w:rPr>
          <w:rFonts w:ascii="Times New Roman" w:hAnsi="Times New Roman" w:cs="Times New Roman"/>
          <w:sz w:val="24"/>
          <w:szCs w:val="24"/>
        </w:rPr>
        <w:t xml:space="preserve">come non potesse essere al corrente della eventuale natura fraudolenta delle operazioni </w:t>
      </w:r>
      <w:r w:rsidR="00CD683D">
        <w:rPr>
          <w:rFonts w:ascii="Times New Roman" w:hAnsi="Times New Roman" w:cs="Times New Roman"/>
          <w:sz w:val="24"/>
          <w:szCs w:val="24"/>
        </w:rPr>
        <w:t xml:space="preserve">compiute </w:t>
      </w:r>
      <w:r w:rsidR="00D32D0C">
        <w:rPr>
          <w:rFonts w:ascii="Times New Roman" w:hAnsi="Times New Roman" w:cs="Times New Roman"/>
          <w:sz w:val="24"/>
          <w:szCs w:val="24"/>
        </w:rPr>
        <w:t>dalla società cedente</w:t>
      </w:r>
      <w:r>
        <w:rPr>
          <w:rFonts w:ascii="Times New Roman" w:hAnsi="Times New Roman" w:cs="Times New Roman"/>
          <w:sz w:val="24"/>
          <w:szCs w:val="24"/>
        </w:rPr>
        <w:t>, risultata nullatenente e priva di struttura organizzativa idonea a eseguire le prestazioni fatturate</w:t>
      </w:r>
      <w:r w:rsidR="00D32D0C">
        <w:rPr>
          <w:rFonts w:ascii="Times New Roman" w:hAnsi="Times New Roman" w:cs="Times New Roman"/>
          <w:sz w:val="24"/>
          <w:szCs w:val="24"/>
        </w:rPr>
        <w:t>.</w:t>
      </w:r>
    </w:p>
    <w:p w:rsidR="0002234B" w:rsidRPr="005449CD" w:rsidRDefault="005449CD" w:rsidP="005449CD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2D0C" w:rsidRPr="005449CD">
        <w:rPr>
          <w:rFonts w:ascii="Times New Roman" w:hAnsi="Times New Roman" w:cs="Times New Roman"/>
          <w:sz w:val="24"/>
          <w:szCs w:val="24"/>
        </w:rPr>
        <w:t xml:space="preserve">ul punto, il </w:t>
      </w:r>
      <w:r w:rsidR="0002234B" w:rsidRPr="005449CD">
        <w:rPr>
          <w:rFonts w:ascii="Times New Roman" w:hAnsi="Times New Roman" w:cs="Times New Roman"/>
          <w:sz w:val="24"/>
          <w:szCs w:val="24"/>
        </w:rPr>
        <w:t>Collegio</w:t>
      </w:r>
      <w:r w:rsidR="00D32D0C" w:rsidRPr="0054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riteneva</w:t>
      </w:r>
      <w:r w:rsidR="00212F6C">
        <w:rPr>
          <w:rFonts w:ascii="Times New Roman" w:hAnsi="Times New Roman" w:cs="Times New Roman"/>
          <w:sz w:val="24"/>
          <w:szCs w:val="24"/>
        </w:rPr>
        <w:t xml:space="preserve"> condivisibile</w:t>
      </w:r>
      <w:r w:rsidR="0002234B" w:rsidRPr="005449CD">
        <w:rPr>
          <w:rFonts w:ascii="Times New Roman" w:hAnsi="Times New Roman" w:cs="Times New Roman"/>
          <w:sz w:val="24"/>
          <w:szCs w:val="24"/>
        </w:rPr>
        <w:t xml:space="preserve"> </w:t>
      </w:r>
      <w:r w:rsidR="00BB2E00" w:rsidRPr="005449CD">
        <w:rPr>
          <w:rFonts w:ascii="Times New Roman" w:hAnsi="Times New Roman" w:cs="Times New Roman"/>
          <w:sz w:val="24"/>
          <w:szCs w:val="24"/>
        </w:rPr>
        <w:t xml:space="preserve">:&lt;&lt; </w:t>
      </w:r>
      <w:r w:rsidR="0002234B" w:rsidRPr="005449CD">
        <w:rPr>
          <w:rFonts w:ascii="Times New Roman" w:hAnsi="Times New Roman" w:cs="Times New Roman"/>
          <w:b/>
          <w:i/>
          <w:sz w:val="24"/>
          <w:szCs w:val="24"/>
        </w:rPr>
        <w:t>l'orientamento generale secondo il quale l'imprenditore commerciale non può rispondere della eventuale natura fraudolenta delle operazioni</w:t>
      </w:r>
      <w:r w:rsidR="00CD683D" w:rsidRPr="005449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2234B" w:rsidRPr="005449CD">
        <w:rPr>
          <w:rFonts w:ascii="Times New Roman" w:hAnsi="Times New Roman" w:cs="Times New Roman"/>
          <w:b/>
          <w:i/>
          <w:sz w:val="24"/>
          <w:szCs w:val="24"/>
        </w:rPr>
        <w:t xml:space="preserve"> occorrendo la dimostrazione della piena conoscenza e della partecipazione alla frode fiscale o dell’accordo simulatorio</w:t>
      </w:r>
      <w:r w:rsidR="00F93F59" w:rsidRPr="005449CD">
        <w:rPr>
          <w:rFonts w:ascii="Times New Roman" w:hAnsi="Times New Roman" w:cs="Times New Roman"/>
          <w:b/>
          <w:i/>
          <w:sz w:val="24"/>
          <w:szCs w:val="24"/>
        </w:rPr>
        <w:t xml:space="preserve">&gt;&gt; </w:t>
      </w:r>
      <w:r w:rsidR="00CD683D" w:rsidRPr="005449CD">
        <w:rPr>
          <w:rFonts w:ascii="Times New Roman" w:hAnsi="Times New Roman" w:cs="Times New Roman"/>
          <w:b/>
          <w:sz w:val="24"/>
          <w:szCs w:val="24"/>
        </w:rPr>
        <w:t xml:space="preserve">con la </w:t>
      </w:r>
      <w:r w:rsidR="00D32D0C" w:rsidRPr="005449CD">
        <w:rPr>
          <w:rFonts w:ascii="Times New Roman" w:hAnsi="Times New Roman" w:cs="Times New Roman"/>
          <w:b/>
          <w:sz w:val="24"/>
          <w:szCs w:val="24"/>
        </w:rPr>
        <w:t>società cedente</w:t>
      </w:r>
      <w:r w:rsidR="0002234B" w:rsidRPr="00544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34B" w:rsidRPr="000007DF" w:rsidRDefault="0002234B" w:rsidP="005449CD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0007DF">
        <w:rPr>
          <w:rFonts w:ascii="Times New Roman" w:hAnsi="Times New Roman" w:cs="Times New Roman"/>
          <w:sz w:val="24"/>
          <w:szCs w:val="24"/>
        </w:rPr>
        <w:t>Nel caso in esame la pretesa impositiva trovava il suo fondamento sostanzialmente sul fatto che la ditta fornitrice era risultata essere evasore totale delle imposte e dell’IVA, ma tale circostanza (evidentemente neg</w:t>
      </w:r>
      <w:r w:rsidR="00CE1D6D">
        <w:rPr>
          <w:rFonts w:ascii="Times New Roman" w:hAnsi="Times New Roman" w:cs="Times New Roman"/>
          <w:sz w:val="24"/>
          <w:szCs w:val="24"/>
        </w:rPr>
        <w:t xml:space="preserve">ativa) non poteva da sola </w:t>
      </w:r>
      <w:r w:rsidRPr="000007DF">
        <w:rPr>
          <w:rFonts w:ascii="Times New Roman" w:hAnsi="Times New Roman" w:cs="Times New Roman"/>
          <w:sz w:val="24"/>
          <w:szCs w:val="24"/>
        </w:rPr>
        <w:t>comportare conseguenze negative per la società appell</w:t>
      </w:r>
      <w:r w:rsidR="00CE1D6D">
        <w:rPr>
          <w:rFonts w:ascii="Times New Roman" w:hAnsi="Times New Roman" w:cs="Times New Roman"/>
          <w:sz w:val="24"/>
          <w:szCs w:val="24"/>
        </w:rPr>
        <w:t>ante, avendo dovuto e potuto l’</w:t>
      </w:r>
      <w:r w:rsidRPr="000007DF">
        <w:rPr>
          <w:rFonts w:ascii="Times New Roman" w:hAnsi="Times New Roman" w:cs="Times New Roman"/>
          <w:sz w:val="24"/>
          <w:szCs w:val="24"/>
        </w:rPr>
        <w:t xml:space="preserve">Agenzia delle Entrate agire nei confronti del titolare della ditta </w:t>
      </w:r>
      <w:r w:rsidR="00BB2E00" w:rsidRPr="000007DF">
        <w:rPr>
          <w:rFonts w:ascii="Times New Roman" w:hAnsi="Times New Roman" w:cs="Times New Roman"/>
          <w:sz w:val="24"/>
          <w:szCs w:val="24"/>
        </w:rPr>
        <w:t>e</w:t>
      </w:r>
      <w:r w:rsidRPr="000007DF">
        <w:rPr>
          <w:rFonts w:ascii="Times New Roman" w:hAnsi="Times New Roman" w:cs="Times New Roman"/>
          <w:sz w:val="24"/>
          <w:szCs w:val="24"/>
        </w:rPr>
        <w:t>lettronica.</w:t>
      </w:r>
    </w:p>
    <w:p w:rsidR="0002234B" w:rsidRPr="00F93F59" w:rsidRDefault="00BB2E00" w:rsidP="00F93F59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DF">
        <w:rPr>
          <w:rFonts w:ascii="Times New Roman" w:hAnsi="Times New Roman" w:cs="Times New Roman"/>
          <w:b/>
          <w:sz w:val="24"/>
          <w:szCs w:val="24"/>
        </w:rPr>
        <w:t>A</w:t>
      </w:r>
      <w:r w:rsidR="00F93F59">
        <w:rPr>
          <w:rFonts w:ascii="Times New Roman" w:hAnsi="Times New Roman" w:cs="Times New Roman"/>
          <w:b/>
          <w:sz w:val="24"/>
          <w:szCs w:val="24"/>
        </w:rPr>
        <w:t xml:space="preserve"> sostegno delle proprie argomentazioni,</w:t>
      </w:r>
      <w:r w:rsidRPr="000007DF">
        <w:rPr>
          <w:rFonts w:ascii="Times New Roman" w:hAnsi="Times New Roman" w:cs="Times New Roman"/>
          <w:b/>
          <w:sz w:val="24"/>
          <w:szCs w:val="24"/>
        </w:rPr>
        <w:t xml:space="preserve"> i giudici di secondo grado </w:t>
      </w:r>
      <w:r w:rsidR="0002234B" w:rsidRPr="000007DF">
        <w:rPr>
          <w:rFonts w:ascii="Times New Roman" w:hAnsi="Times New Roman" w:cs="Times New Roman"/>
          <w:sz w:val="24"/>
          <w:szCs w:val="24"/>
        </w:rPr>
        <w:t>rileva</w:t>
      </w:r>
      <w:r w:rsidR="00212F6C">
        <w:rPr>
          <w:rFonts w:ascii="Times New Roman" w:hAnsi="Times New Roman" w:cs="Times New Roman"/>
          <w:sz w:val="24"/>
          <w:szCs w:val="24"/>
        </w:rPr>
        <w:t>v</w:t>
      </w:r>
      <w:r w:rsidR="00A22B95">
        <w:rPr>
          <w:rFonts w:ascii="Times New Roman" w:hAnsi="Times New Roman" w:cs="Times New Roman"/>
          <w:sz w:val="24"/>
          <w:szCs w:val="24"/>
        </w:rPr>
        <w:t>a</w:t>
      </w:r>
      <w:r w:rsidR="00212F6C">
        <w:rPr>
          <w:rFonts w:ascii="Times New Roman" w:hAnsi="Times New Roman" w:cs="Times New Roman"/>
          <w:sz w:val="24"/>
          <w:szCs w:val="24"/>
        </w:rPr>
        <w:t>no</w:t>
      </w:r>
      <w:r w:rsidR="009144F5">
        <w:rPr>
          <w:rFonts w:ascii="Times New Roman" w:hAnsi="Times New Roman" w:cs="Times New Roman"/>
          <w:sz w:val="24"/>
          <w:szCs w:val="24"/>
        </w:rPr>
        <w:t>,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</w:t>
      </w:r>
      <w:r w:rsidR="009144F5">
        <w:rPr>
          <w:rFonts w:ascii="Times New Roman" w:hAnsi="Times New Roman" w:cs="Times New Roman"/>
          <w:sz w:val="24"/>
          <w:szCs w:val="24"/>
        </w:rPr>
        <w:t xml:space="preserve">inoltre, 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come la Suprema Corte </w:t>
      </w:r>
      <w:r w:rsidR="009144F5">
        <w:rPr>
          <w:rFonts w:ascii="Times New Roman" w:hAnsi="Times New Roman" w:cs="Times New Roman"/>
          <w:sz w:val="24"/>
          <w:szCs w:val="24"/>
        </w:rPr>
        <w:t>avesse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più volte, e con un orientamento del tutto uniforme, chiarito che </w:t>
      </w:r>
      <w:r w:rsidR="00F93F59">
        <w:rPr>
          <w:rFonts w:ascii="Times New Roman" w:hAnsi="Times New Roman" w:cs="Times New Roman"/>
          <w:sz w:val="24"/>
          <w:szCs w:val="24"/>
        </w:rPr>
        <w:t xml:space="preserve">&lt;&lt; </w:t>
      </w:r>
      <w:r w:rsidR="00B0093D">
        <w:rPr>
          <w:rFonts w:ascii="Times New Roman" w:hAnsi="Times New Roman" w:cs="Times New Roman"/>
          <w:sz w:val="24"/>
          <w:szCs w:val="24"/>
        </w:rPr>
        <w:t xml:space="preserve">(…) </w:t>
      </w:r>
      <w:r w:rsidR="0002234B" w:rsidRPr="00915CF3">
        <w:rPr>
          <w:rFonts w:ascii="Times New Roman" w:hAnsi="Times New Roman" w:cs="Times New Roman"/>
          <w:b/>
          <w:i/>
          <w:sz w:val="24"/>
          <w:szCs w:val="24"/>
        </w:rPr>
        <w:t>in caso di apparente regolarità dell</w:t>
      </w:r>
      <w:r w:rsidR="00915CF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02234B" w:rsidRPr="00915CF3">
        <w:rPr>
          <w:rFonts w:ascii="Times New Roman" w:hAnsi="Times New Roman" w:cs="Times New Roman"/>
          <w:b/>
          <w:i/>
          <w:sz w:val="24"/>
          <w:szCs w:val="24"/>
        </w:rPr>
        <w:t xml:space="preserve"> fattur</w:t>
      </w:r>
      <w:r w:rsidR="00915CF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02234B" w:rsidRPr="00915CF3">
        <w:rPr>
          <w:rFonts w:ascii="Times New Roman" w:hAnsi="Times New Roman" w:cs="Times New Roman"/>
          <w:b/>
          <w:i/>
          <w:sz w:val="24"/>
          <w:szCs w:val="24"/>
        </w:rPr>
        <w:t>, la</w:t>
      </w:r>
      <w:r w:rsidR="0002234B" w:rsidRPr="00B0093D">
        <w:rPr>
          <w:rFonts w:ascii="Times New Roman" w:hAnsi="Times New Roman" w:cs="Times New Roman"/>
          <w:b/>
          <w:i/>
          <w:sz w:val="24"/>
          <w:szCs w:val="24"/>
        </w:rPr>
        <w:t xml:space="preserve"> mera contestazione dell'amministrazione finanziaria non è affatto sufficiente </w:t>
      </w:r>
      <w:r w:rsidR="009952D0" w:rsidRPr="00B0093D">
        <w:rPr>
          <w:rFonts w:ascii="Times New Roman" w:hAnsi="Times New Roman" w:cs="Times New Roman"/>
          <w:b/>
          <w:i/>
          <w:sz w:val="24"/>
          <w:szCs w:val="24"/>
        </w:rPr>
        <w:t>ad</w:t>
      </w:r>
      <w:r w:rsidR="0002234B" w:rsidRPr="00B0093D">
        <w:rPr>
          <w:rFonts w:ascii="Times New Roman" w:hAnsi="Times New Roman" w:cs="Times New Roman"/>
          <w:b/>
          <w:i/>
          <w:sz w:val="24"/>
          <w:szCs w:val="24"/>
        </w:rPr>
        <w:t xml:space="preserve"> invertire l'onere della prova,</w:t>
      </w:r>
      <w:r w:rsidR="0002234B" w:rsidRPr="00000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34B" w:rsidRPr="00F93F59">
        <w:rPr>
          <w:rFonts w:ascii="Times New Roman" w:hAnsi="Times New Roman" w:cs="Times New Roman"/>
          <w:b/>
          <w:i/>
          <w:sz w:val="24"/>
          <w:szCs w:val="24"/>
        </w:rPr>
        <w:t>essendo invece necessario che essa dimostri sia la frode del cedente, sia la connivenza del cessionario</w:t>
      </w:r>
      <w:r w:rsidR="00B00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93D">
        <w:rPr>
          <w:rFonts w:ascii="Times New Roman" w:hAnsi="Times New Roman" w:cs="Times New Roman"/>
          <w:i/>
          <w:sz w:val="24"/>
          <w:szCs w:val="24"/>
        </w:rPr>
        <w:t>&gt;&gt;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(cfr. Cass. Sent. 05-12-2014, n. 25778) e che </w:t>
      </w:r>
      <w:r w:rsidR="00B0093D" w:rsidRPr="00915CF3">
        <w:rPr>
          <w:rFonts w:ascii="Times New Roman" w:hAnsi="Times New Roman" w:cs="Times New Roman"/>
          <w:b/>
          <w:sz w:val="24"/>
          <w:szCs w:val="24"/>
        </w:rPr>
        <w:t xml:space="preserve">&lt;&lt; </w:t>
      </w:r>
      <w:r w:rsidR="0002234B" w:rsidRPr="00915CF3">
        <w:rPr>
          <w:rFonts w:ascii="Times New Roman" w:hAnsi="Times New Roman" w:cs="Times New Roman"/>
          <w:b/>
          <w:i/>
          <w:sz w:val="24"/>
          <w:szCs w:val="24"/>
        </w:rPr>
        <w:t>In tema di IVA, qualora l'Amministrazione contesti a un operatore il diritto alla detrazione d'imposta in</w:t>
      </w:r>
      <w:r w:rsidR="00F93F59" w:rsidRPr="00915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234B" w:rsidRPr="00915CF3">
        <w:rPr>
          <w:rFonts w:ascii="Times New Roman" w:hAnsi="Times New Roman" w:cs="Times New Roman"/>
          <w:b/>
          <w:i/>
          <w:sz w:val="24"/>
          <w:szCs w:val="24"/>
        </w:rPr>
        <w:t>ragione di una supposta inesistenza soggettiva delle operazioni oggetto dell'accertamento, è onere della medesima amministrazione provare, alla luce di elementi oggettivi, che il soggetto passivo interessato sapeva o avrebbe dovuto sapere che</w:t>
      </w:r>
      <w:r w:rsidR="0002234B" w:rsidRPr="00F93F59">
        <w:rPr>
          <w:rFonts w:ascii="Times New Roman" w:hAnsi="Times New Roman" w:cs="Times New Roman"/>
          <w:b/>
          <w:i/>
          <w:sz w:val="24"/>
          <w:szCs w:val="24"/>
        </w:rPr>
        <w:t xml:space="preserve"> l'operazione invocata a fondamento del diritto a detrazione si iscriveva - per l'esistenza nella specie di indizi idonei ad avvalorare il sospetto in tal senso indicati </w:t>
      </w:r>
      <w:r w:rsidR="0002234B" w:rsidRPr="00F93F5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dall'amministrazione - in un'evasione commessa dall'emittente delle fatture contestate </w:t>
      </w:r>
      <w:r w:rsidR="009952D0" w:rsidRPr="00F93F59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02234B" w:rsidRPr="00F93F59">
        <w:rPr>
          <w:rFonts w:ascii="Times New Roman" w:hAnsi="Times New Roman" w:cs="Times New Roman"/>
          <w:b/>
          <w:i/>
          <w:sz w:val="24"/>
          <w:szCs w:val="24"/>
        </w:rPr>
        <w:t xml:space="preserve"> da un altro operatore intervenuta a monte nella catena di prestazioni</w:t>
      </w:r>
      <w:r w:rsidR="009952D0" w:rsidRPr="000007DF">
        <w:rPr>
          <w:rFonts w:ascii="Times New Roman" w:hAnsi="Times New Roman" w:cs="Times New Roman"/>
          <w:sz w:val="24"/>
          <w:szCs w:val="24"/>
        </w:rPr>
        <w:t>. &gt;&gt;</w:t>
      </w:r>
      <w:r w:rsidR="0002234B" w:rsidRPr="000007DF">
        <w:rPr>
          <w:rFonts w:ascii="Times New Roman" w:hAnsi="Times New Roman" w:cs="Times New Roman"/>
          <w:sz w:val="24"/>
          <w:szCs w:val="24"/>
        </w:rPr>
        <w:t xml:space="preserve"> (ctr. Cass, Sent. 20-12-2012, n. 23560).</w:t>
      </w:r>
    </w:p>
    <w:p w:rsidR="00035383" w:rsidRDefault="00BF1E5B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Cs/>
          <w:sz w:val="24"/>
          <w:szCs w:val="24"/>
        </w:rPr>
        <w:t>In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 definitiva</w:t>
      </w:r>
      <w:r w:rsidR="003B636E" w:rsidRPr="00CE1D6D">
        <w:rPr>
          <w:rFonts w:ascii="Times New Roman" w:hAnsi="Times New Roman" w:cs="Times New Roman"/>
          <w:bCs/>
          <w:sz w:val="24"/>
          <w:szCs w:val="24"/>
        </w:rPr>
        <w:t>,</w:t>
      </w:r>
      <w:r w:rsidR="00915CF3">
        <w:rPr>
          <w:rFonts w:ascii="Times New Roman" w:hAnsi="Times New Roman" w:cs="Times New Roman"/>
          <w:bCs/>
          <w:sz w:val="24"/>
          <w:szCs w:val="24"/>
        </w:rPr>
        <w:t xml:space="preserve"> gli</w:t>
      </w:r>
      <w:r w:rsidR="00CE1D6D" w:rsidRPr="00CE1D6D">
        <w:rPr>
          <w:rFonts w:ascii="Times New Roman" w:hAnsi="Times New Roman" w:cs="Times New Roman"/>
          <w:bCs/>
          <w:sz w:val="24"/>
          <w:szCs w:val="24"/>
        </w:rPr>
        <w:t xml:space="preserve"> avvisi di accertamento </w:t>
      </w:r>
      <w:r w:rsidR="00915CF3">
        <w:rPr>
          <w:rFonts w:ascii="Times New Roman" w:hAnsi="Times New Roman" w:cs="Times New Roman"/>
          <w:bCs/>
          <w:sz w:val="24"/>
          <w:szCs w:val="24"/>
        </w:rPr>
        <w:t xml:space="preserve">impugnati </w:t>
      </w:r>
      <w:r w:rsidR="00CE1D6D" w:rsidRPr="00CE1D6D">
        <w:rPr>
          <w:rFonts w:ascii="Times New Roman" w:hAnsi="Times New Roman" w:cs="Times New Roman"/>
          <w:bCs/>
          <w:sz w:val="24"/>
          <w:szCs w:val="24"/>
        </w:rPr>
        <w:t xml:space="preserve">sono stati annullati perché, </w:t>
      </w:r>
      <w:r w:rsidR="003B636E" w:rsidRPr="00CE1D6D">
        <w:rPr>
          <w:rFonts w:ascii="Times New Roman" w:hAnsi="Times New Roman" w:cs="Times New Roman"/>
          <w:bCs/>
          <w:sz w:val="24"/>
          <w:szCs w:val="24"/>
        </w:rPr>
        <w:t>a</w:t>
      </w:r>
      <w:r w:rsidR="003B636E" w:rsidRPr="000007DF">
        <w:rPr>
          <w:rFonts w:ascii="Times New Roman" w:hAnsi="Times New Roman" w:cs="Times New Roman"/>
          <w:bCs/>
          <w:sz w:val="24"/>
          <w:szCs w:val="24"/>
        </w:rPr>
        <w:t xml:space="preserve"> parere della Commissione</w:t>
      </w:r>
      <w:r w:rsidR="009952D0" w:rsidRPr="0000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Tributaria </w:t>
      </w:r>
      <w:r w:rsidR="009952D0" w:rsidRPr="000007DF">
        <w:rPr>
          <w:rFonts w:ascii="Times New Roman" w:hAnsi="Times New Roman" w:cs="Times New Roman"/>
          <w:bCs/>
          <w:sz w:val="24"/>
          <w:szCs w:val="24"/>
        </w:rPr>
        <w:t>Regionale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 Campania</w:t>
      </w:r>
      <w:r w:rsidR="003B636E" w:rsidRPr="000007DF">
        <w:rPr>
          <w:rFonts w:ascii="Times New Roman" w:hAnsi="Times New Roman" w:cs="Times New Roman"/>
          <w:bCs/>
          <w:sz w:val="24"/>
          <w:szCs w:val="24"/>
        </w:rPr>
        <w:t xml:space="preserve">, l’Ufficio </w:t>
      </w:r>
      <w:r w:rsidR="00035383" w:rsidRPr="000007DF">
        <w:rPr>
          <w:rFonts w:ascii="Times New Roman" w:hAnsi="Times New Roman" w:cs="Times New Roman"/>
          <w:bCs/>
          <w:sz w:val="24"/>
          <w:szCs w:val="24"/>
        </w:rPr>
        <w:t xml:space="preserve">ha 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sovrapposto e alternato </w:t>
      </w:r>
      <w:r w:rsidR="00B0093D" w:rsidRPr="00B0093D">
        <w:rPr>
          <w:rFonts w:ascii="Times New Roman" w:hAnsi="Times New Roman" w:cs="Times New Roman"/>
          <w:bCs/>
          <w:i/>
          <w:sz w:val="24"/>
          <w:szCs w:val="24"/>
        </w:rPr>
        <w:t>la ratio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 delle operazioni soggettivamente e oggettivamente inesistenti e perché non ha </w:t>
      </w:r>
      <w:r w:rsidR="00035383" w:rsidRPr="000007DF">
        <w:rPr>
          <w:rFonts w:ascii="Times New Roman" w:hAnsi="Times New Roman" w:cs="Times New Roman"/>
          <w:bCs/>
          <w:sz w:val="24"/>
          <w:szCs w:val="24"/>
        </w:rPr>
        <w:t>concretamente provato l’eventuale connivenza o consapevolezza della società concessionaria alla asserita frode fiscale posta in essere dal soggetto cedente, non essendo emerse risultanze che potessero autorizzare l’</w:t>
      </w:r>
      <w:r w:rsidR="00F93F59">
        <w:rPr>
          <w:rFonts w:ascii="Times New Roman" w:hAnsi="Times New Roman" w:cs="Times New Roman"/>
          <w:bCs/>
          <w:sz w:val="24"/>
          <w:szCs w:val="24"/>
        </w:rPr>
        <w:t>U</w:t>
      </w:r>
      <w:r w:rsidR="00035383" w:rsidRPr="000007DF">
        <w:rPr>
          <w:rFonts w:ascii="Times New Roman" w:hAnsi="Times New Roman" w:cs="Times New Roman"/>
          <w:bCs/>
          <w:sz w:val="24"/>
          <w:szCs w:val="24"/>
        </w:rPr>
        <w:t xml:space="preserve">fficio a ritenere che la contribuente sapesse o che avrebbe </w:t>
      </w:r>
      <w:r w:rsidR="00B0093D">
        <w:rPr>
          <w:rFonts w:ascii="Times New Roman" w:hAnsi="Times New Roman" w:cs="Times New Roman"/>
          <w:bCs/>
          <w:sz w:val="24"/>
          <w:szCs w:val="24"/>
        </w:rPr>
        <w:t xml:space="preserve">dovuto </w:t>
      </w:r>
      <w:r w:rsidR="00035383" w:rsidRPr="000007DF">
        <w:rPr>
          <w:rFonts w:ascii="Times New Roman" w:hAnsi="Times New Roman" w:cs="Times New Roman"/>
          <w:bCs/>
          <w:sz w:val="24"/>
          <w:szCs w:val="24"/>
        </w:rPr>
        <w:t>sapere di partecipare a una eventuale frode fiscale con evasione d’imposta.</w:t>
      </w:r>
    </w:p>
    <w:p w:rsidR="00B30DA4" w:rsidRPr="000007DF" w:rsidRDefault="00B30DA4" w:rsidP="004065C7">
      <w:pPr>
        <w:pStyle w:val="Corpotesto"/>
        <w:spacing w:after="0" w:line="36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46CA" w:rsidRPr="000007DF" w:rsidRDefault="00307B78" w:rsidP="00F93F59">
      <w:pPr>
        <w:pStyle w:val="Corpotesto"/>
        <w:numPr>
          <w:ilvl w:val="0"/>
          <w:numId w:val="8"/>
        </w:numPr>
        <w:spacing w:after="0" w:line="360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DF">
        <w:rPr>
          <w:rFonts w:ascii="Times New Roman" w:hAnsi="Times New Roman" w:cs="Times New Roman"/>
          <w:b/>
          <w:sz w:val="24"/>
          <w:szCs w:val="24"/>
        </w:rPr>
        <w:t>OSSERVAZIONI</w:t>
      </w:r>
      <w:r w:rsidR="008946CA" w:rsidRPr="00000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83" w:rsidRPr="00212F6C" w:rsidRDefault="00A61D80" w:rsidP="00212F6C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6C">
        <w:rPr>
          <w:rFonts w:ascii="Times New Roman" w:hAnsi="Times New Roman" w:cs="Times New Roman"/>
          <w:sz w:val="24"/>
          <w:szCs w:val="24"/>
        </w:rPr>
        <w:t>In conclusione, occorre rilevare che con l</w:t>
      </w:r>
      <w:r w:rsidR="00035383" w:rsidRPr="00212F6C">
        <w:rPr>
          <w:rFonts w:ascii="Times New Roman" w:hAnsi="Times New Roman" w:cs="Times New Roman"/>
          <w:sz w:val="24"/>
          <w:szCs w:val="24"/>
        </w:rPr>
        <w:t>a</w:t>
      </w:r>
      <w:r w:rsidRPr="00212F6C">
        <w:rPr>
          <w:rFonts w:ascii="Times New Roman" w:hAnsi="Times New Roman" w:cs="Times New Roman"/>
          <w:sz w:val="24"/>
          <w:szCs w:val="24"/>
        </w:rPr>
        <w:t xml:space="preserve"> sentenz</w:t>
      </w:r>
      <w:r w:rsidR="00035383" w:rsidRPr="00212F6C">
        <w:rPr>
          <w:rFonts w:ascii="Times New Roman" w:hAnsi="Times New Roman" w:cs="Times New Roman"/>
          <w:sz w:val="24"/>
          <w:szCs w:val="24"/>
        </w:rPr>
        <w:t>a</w:t>
      </w:r>
      <w:r w:rsidR="00212F6C" w:rsidRPr="00212F6C">
        <w:rPr>
          <w:rFonts w:ascii="Times New Roman" w:hAnsi="Times New Roman" w:cs="Times New Roman"/>
          <w:b/>
          <w:bCs/>
          <w:sz w:val="24"/>
          <w:szCs w:val="24"/>
        </w:rPr>
        <w:t xml:space="preserve"> n. 1114/2019</w:t>
      </w:r>
      <w:r w:rsidRPr="00212F6C">
        <w:rPr>
          <w:rFonts w:ascii="Times New Roman" w:hAnsi="Times New Roman" w:cs="Times New Roman"/>
          <w:sz w:val="24"/>
          <w:szCs w:val="24"/>
        </w:rPr>
        <w:t>, i giudici tributari</w:t>
      </w:r>
      <w:r w:rsidR="00CE1D6D" w:rsidRPr="00212F6C">
        <w:rPr>
          <w:rFonts w:ascii="Times New Roman" w:hAnsi="Times New Roman" w:cs="Times New Roman"/>
          <w:sz w:val="24"/>
          <w:szCs w:val="24"/>
        </w:rPr>
        <w:t xml:space="preserve"> campani hanno </w:t>
      </w:r>
      <w:r w:rsidR="00AA59D8">
        <w:rPr>
          <w:rFonts w:ascii="Times New Roman" w:hAnsi="Times New Roman" w:cs="Times New Roman"/>
          <w:sz w:val="24"/>
          <w:szCs w:val="24"/>
        </w:rPr>
        <w:t xml:space="preserve">annullato totalmente sei avvisi di accertamento e </w:t>
      </w:r>
      <w:r w:rsidRPr="00212F6C">
        <w:rPr>
          <w:rFonts w:ascii="Times New Roman" w:hAnsi="Times New Roman" w:cs="Times New Roman"/>
          <w:sz w:val="24"/>
          <w:szCs w:val="24"/>
        </w:rPr>
        <w:t>ritenuto</w:t>
      </w:r>
      <w:r w:rsidR="00516E59" w:rsidRPr="00212F6C">
        <w:rPr>
          <w:rFonts w:ascii="Times New Roman" w:hAnsi="Times New Roman" w:cs="Times New Roman"/>
          <w:sz w:val="24"/>
          <w:szCs w:val="24"/>
        </w:rPr>
        <w:t>,</w:t>
      </w:r>
      <w:r w:rsidRPr="00212F6C">
        <w:rPr>
          <w:rFonts w:ascii="Times New Roman" w:hAnsi="Times New Roman" w:cs="Times New Roman"/>
          <w:sz w:val="24"/>
          <w:szCs w:val="24"/>
        </w:rPr>
        <w:t xml:space="preserve"> che</w:t>
      </w:r>
      <w:r w:rsidR="00CE1D6D" w:rsidRPr="00212F6C">
        <w:rPr>
          <w:rFonts w:ascii="Times New Roman" w:hAnsi="Times New Roman" w:cs="Times New Roman"/>
          <w:sz w:val="24"/>
          <w:szCs w:val="24"/>
        </w:rPr>
        <w:t>:</w:t>
      </w:r>
      <w:r w:rsidRPr="0021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96" w:rsidRPr="00015B96" w:rsidRDefault="00035383" w:rsidP="004065C7">
      <w:pPr>
        <w:pStyle w:val="Paragrafoelenco"/>
        <w:numPr>
          <w:ilvl w:val="0"/>
          <w:numId w:val="5"/>
        </w:numPr>
        <w:spacing w:after="0" w:line="360" w:lineRule="auto"/>
        <w:ind w:right="42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A484F">
        <w:rPr>
          <w:rFonts w:ascii="Times New Roman" w:hAnsi="Times New Roman" w:cs="Times New Roman"/>
          <w:b/>
          <w:sz w:val="24"/>
          <w:szCs w:val="24"/>
        </w:rPr>
        <w:t xml:space="preserve">non si può condividere la tesi secondo la quale sarebbe ininfluente la discriminazione formale tra operazioni oggettivamente </w:t>
      </w:r>
      <w:r w:rsidR="005A484F">
        <w:rPr>
          <w:rFonts w:ascii="Times New Roman" w:hAnsi="Times New Roman" w:cs="Times New Roman"/>
          <w:b/>
          <w:sz w:val="24"/>
          <w:szCs w:val="24"/>
        </w:rPr>
        <w:t>o soggettivamente inesistenti</w:t>
      </w:r>
      <w:r w:rsidR="00CE1D6D">
        <w:rPr>
          <w:rFonts w:ascii="Times New Roman" w:hAnsi="Times New Roman" w:cs="Times New Roman"/>
          <w:b/>
          <w:sz w:val="24"/>
          <w:szCs w:val="24"/>
        </w:rPr>
        <w:t>, perché al contrario è di rilevante importanza</w:t>
      </w:r>
      <w:r w:rsidR="00642A76">
        <w:rPr>
          <w:rFonts w:ascii="Times New Roman" w:hAnsi="Times New Roman" w:cs="Times New Roman"/>
          <w:b/>
          <w:sz w:val="24"/>
          <w:szCs w:val="24"/>
        </w:rPr>
        <w:t xml:space="preserve"> ed è ben nota l’evoluzione giurisprudenziale di legittimità venutasi a creare in argomento</w:t>
      </w:r>
      <w:r w:rsidR="005A484F">
        <w:rPr>
          <w:rFonts w:ascii="Times New Roman" w:hAnsi="Times New Roman" w:cs="Times New Roman"/>
          <w:b/>
          <w:sz w:val="24"/>
          <w:szCs w:val="24"/>
        </w:rPr>
        <w:t>;</w:t>
      </w:r>
    </w:p>
    <w:p w:rsidR="00B0093D" w:rsidRPr="00BB0AD0" w:rsidRDefault="005A484F" w:rsidP="004065C7">
      <w:pPr>
        <w:pStyle w:val="Paragrafoelenco"/>
        <w:numPr>
          <w:ilvl w:val="0"/>
          <w:numId w:val="5"/>
        </w:numPr>
        <w:spacing w:after="0" w:line="360" w:lineRule="auto"/>
        <w:ind w:right="42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spetta all'</w:t>
      </w:r>
      <w:r w:rsidR="00915CF3">
        <w:rPr>
          <w:rFonts w:ascii="Times New Roman" w:hAnsi="Times New Roman" w:cs="Times New Roman"/>
          <w:b/>
          <w:sz w:val="24"/>
          <w:szCs w:val="24"/>
        </w:rPr>
        <w:t>A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mministrazione finanziaria, la quale contesti il diritto del contribuente a portare </w:t>
      </w:r>
      <w:r w:rsidR="007726C8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7726C8">
        <w:rPr>
          <w:rFonts w:ascii="Times New Roman" w:hAnsi="Times New Roman" w:cs="Times New Roman"/>
          <w:b/>
          <w:bCs/>
          <w:sz w:val="24"/>
          <w:szCs w:val="24"/>
        </w:rPr>
        <w:t>deduzione dei costi e in detrazione l</w:t>
      </w:r>
      <w:r w:rsidR="007726C8" w:rsidRPr="007726C8">
        <w:rPr>
          <w:rFonts w:ascii="Times New Roman" w:hAnsi="Times New Roman" w:cs="Times New Roman"/>
          <w:b/>
          <w:bCs/>
          <w:sz w:val="24"/>
          <w:szCs w:val="24"/>
        </w:rPr>
        <w:t xml:space="preserve">’Iva 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pagata su fatture emesse per cd. operazioni soggettivamente inesistenti, provare che il contribuente, al momento in cui acquistò il bene o il servizio, sapesse o </w:t>
      </w:r>
      <w:r w:rsidR="00B0093D">
        <w:rPr>
          <w:rFonts w:ascii="Times New Roman" w:hAnsi="Times New Roman" w:cs="Times New Roman"/>
          <w:b/>
          <w:sz w:val="24"/>
          <w:szCs w:val="24"/>
        </w:rPr>
        <w:t xml:space="preserve">avrebbe dovuto 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sapere, con l'uso dell'ordinaria diligenza, che il soggetto formalmente cedente avesse, con l'emissione della relativa fattura, evaso l'imposta o compiuto una frode. </w:t>
      </w:r>
    </w:p>
    <w:p w:rsidR="00B0093D" w:rsidRDefault="00B0093D" w:rsidP="004065C7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9652B" w:rsidRPr="00CE1637" w:rsidRDefault="0029652B" w:rsidP="00B0093D">
      <w:pPr>
        <w:spacing w:after="0"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Lecce, 2</w:t>
      </w:r>
      <w:r w:rsidR="00915CF3">
        <w:rPr>
          <w:rFonts w:ascii="Times New Roman" w:hAnsi="Times New Roman" w:cs="Times New Roman"/>
          <w:sz w:val="24"/>
          <w:szCs w:val="24"/>
          <w:lang w:val="it"/>
        </w:rPr>
        <w:t>8</w:t>
      </w:r>
      <w:r>
        <w:rPr>
          <w:rFonts w:ascii="Times New Roman" w:hAnsi="Times New Roman" w:cs="Times New Roman"/>
          <w:sz w:val="24"/>
          <w:szCs w:val="24"/>
          <w:lang w:val="it"/>
        </w:rPr>
        <w:t>/02/2019</w:t>
      </w:r>
      <w:r w:rsidRPr="00CE1637">
        <w:rPr>
          <w:rFonts w:ascii="Times New Roman" w:hAnsi="Times New Roman" w:cs="Times New Roman"/>
          <w:sz w:val="24"/>
          <w:szCs w:val="24"/>
          <w:lang w:val="it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it"/>
        </w:rPr>
        <w:t xml:space="preserve">                   </w:t>
      </w:r>
      <w:r w:rsidRPr="00CE1637">
        <w:rPr>
          <w:rFonts w:ascii="Times New Roman" w:hAnsi="Times New Roman" w:cs="Times New Roman"/>
          <w:sz w:val="24"/>
          <w:szCs w:val="24"/>
          <w:lang w:val="i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it"/>
        </w:rPr>
        <w:t xml:space="preserve">      </w:t>
      </w:r>
      <w:r w:rsidRPr="00CE1637">
        <w:rPr>
          <w:rFonts w:ascii="Times New Roman" w:hAnsi="Times New Roman" w:cs="Times New Roman"/>
          <w:bCs/>
          <w:sz w:val="24"/>
          <w:szCs w:val="24"/>
        </w:rPr>
        <w:t xml:space="preserve">Avv. Maurizio Villani </w:t>
      </w:r>
    </w:p>
    <w:p w:rsidR="0029652B" w:rsidRPr="00CE1637" w:rsidRDefault="0029652B" w:rsidP="00B0093D">
      <w:pPr>
        <w:spacing w:after="0" w:line="360" w:lineRule="auto"/>
        <w:ind w:right="4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1637">
        <w:rPr>
          <w:rFonts w:ascii="Times New Roman" w:hAnsi="Times New Roman" w:cs="Times New Roman"/>
          <w:bCs/>
          <w:sz w:val="24"/>
          <w:szCs w:val="24"/>
        </w:rPr>
        <w:t>Avv. Federica Attanasi</w:t>
      </w:r>
    </w:p>
    <w:p w:rsidR="0029652B" w:rsidRPr="0029652B" w:rsidRDefault="0029652B" w:rsidP="004065C7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15D159C">
            <wp:extent cx="6120765" cy="1511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652B" w:rsidRPr="0029652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FA" w:rsidRDefault="009A31FA" w:rsidP="0059308A">
      <w:pPr>
        <w:spacing w:after="0" w:line="240" w:lineRule="auto"/>
      </w:pPr>
      <w:r>
        <w:separator/>
      </w:r>
    </w:p>
  </w:endnote>
  <w:endnote w:type="continuationSeparator" w:id="0">
    <w:p w:rsidR="009A31FA" w:rsidRDefault="009A31FA" w:rsidP="0059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560754"/>
      <w:docPartObj>
        <w:docPartGallery w:val="Page Numbers (Bottom of Page)"/>
        <w:docPartUnique/>
      </w:docPartObj>
    </w:sdtPr>
    <w:sdtEndPr/>
    <w:sdtContent>
      <w:p w:rsidR="0059308A" w:rsidRDefault="005930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76">
          <w:rPr>
            <w:noProof/>
          </w:rPr>
          <w:t>6</w:t>
        </w:r>
        <w:r>
          <w:fldChar w:fldCharType="end"/>
        </w:r>
      </w:p>
    </w:sdtContent>
  </w:sdt>
  <w:p w:rsidR="0059308A" w:rsidRDefault="00593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FA" w:rsidRDefault="009A31FA" w:rsidP="0059308A">
      <w:pPr>
        <w:spacing w:after="0" w:line="240" w:lineRule="auto"/>
      </w:pPr>
      <w:r>
        <w:separator/>
      </w:r>
    </w:p>
  </w:footnote>
  <w:footnote w:type="continuationSeparator" w:id="0">
    <w:p w:rsidR="009A31FA" w:rsidRDefault="009A31FA" w:rsidP="0059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0E6"/>
    <w:multiLevelType w:val="hybridMultilevel"/>
    <w:tmpl w:val="B1A0D526"/>
    <w:lvl w:ilvl="0" w:tplc="F5903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2E3"/>
    <w:multiLevelType w:val="hybridMultilevel"/>
    <w:tmpl w:val="7844260A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17524D"/>
    <w:multiLevelType w:val="hybridMultilevel"/>
    <w:tmpl w:val="968E4790"/>
    <w:lvl w:ilvl="0" w:tplc="BDDC4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3C18"/>
    <w:multiLevelType w:val="hybridMultilevel"/>
    <w:tmpl w:val="DD64C6A8"/>
    <w:lvl w:ilvl="0" w:tplc="5F56E4E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4EF2"/>
    <w:multiLevelType w:val="hybridMultilevel"/>
    <w:tmpl w:val="55C87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0927"/>
    <w:multiLevelType w:val="hybridMultilevel"/>
    <w:tmpl w:val="EE8638FA"/>
    <w:lvl w:ilvl="0" w:tplc="5CCEB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9421A"/>
    <w:multiLevelType w:val="hybridMultilevel"/>
    <w:tmpl w:val="67DC0060"/>
    <w:lvl w:ilvl="0" w:tplc="0F4406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EC1BAA"/>
    <w:multiLevelType w:val="hybridMultilevel"/>
    <w:tmpl w:val="BE22ADF2"/>
    <w:lvl w:ilvl="0" w:tplc="6D2EDF1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B0"/>
    <w:rsid w:val="000007DF"/>
    <w:rsid w:val="00012E38"/>
    <w:rsid w:val="000138FB"/>
    <w:rsid w:val="00015B96"/>
    <w:rsid w:val="0002234B"/>
    <w:rsid w:val="0003497D"/>
    <w:rsid w:val="00035383"/>
    <w:rsid w:val="000541D7"/>
    <w:rsid w:val="00054944"/>
    <w:rsid w:val="00062B41"/>
    <w:rsid w:val="00073F57"/>
    <w:rsid w:val="00081E27"/>
    <w:rsid w:val="00086050"/>
    <w:rsid w:val="00097FF1"/>
    <w:rsid w:val="000B264C"/>
    <w:rsid w:val="000C58CB"/>
    <w:rsid w:val="001238A0"/>
    <w:rsid w:val="00137568"/>
    <w:rsid w:val="00145728"/>
    <w:rsid w:val="00147BF2"/>
    <w:rsid w:val="001532EF"/>
    <w:rsid w:val="0016034A"/>
    <w:rsid w:val="00164A0F"/>
    <w:rsid w:val="00180D35"/>
    <w:rsid w:val="00197011"/>
    <w:rsid w:val="001A5072"/>
    <w:rsid w:val="001A5510"/>
    <w:rsid w:val="001B422A"/>
    <w:rsid w:val="001D0BF4"/>
    <w:rsid w:val="001D7193"/>
    <w:rsid w:val="001F0258"/>
    <w:rsid w:val="002057B8"/>
    <w:rsid w:val="00210B6F"/>
    <w:rsid w:val="00212A2C"/>
    <w:rsid w:val="00212F6C"/>
    <w:rsid w:val="00224B62"/>
    <w:rsid w:val="00230591"/>
    <w:rsid w:val="00276655"/>
    <w:rsid w:val="00280B5B"/>
    <w:rsid w:val="0029339F"/>
    <w:rsid w:val="0029652B"/>
    <w:rsid w:val="002A05A9"/>
    <w:rsid w:val="00307B78"/>
    <w:rsid w:val="003156B5"/>
    <w:rsid w:val="003233B0"/>
    <w:rsid w:val="00331384"/>
    <w:rsid w:val="00343D07"/>
    <w:rsid w:val="0034519E"/>
    <w:rsid w:val="00351B96"/>
    <w:rsid w:val="003847F5"/>
    <w:rsid w:val="00390D5C"/>
    <w:rsid w:val="00393B79"/>
    <w:rsid w:val="00394237"/>
    <w:rsid w:val="0039658A"/>
    <w:rsid w:val="003A662B"/>
    <w:rsid w:val="003B636E"/>
    <w:rsid w:val="003C4E60"/>
    <w:rsid w:val="003C57D5"/>
    <w:rsid w:val="003F10E7"/>
    <w:rsid w:val="003F5B5F"/>
    <w:rsid w:val="003F6179"/>
    <w:rsid w:val="004065C7"/>
    <w:rsid w:val="00447FD9"/>
    <w:rsid w:val="00454406"/>
    <w:rsid w:val="0049163E"/>
    <w:rsid w:val="00494D5E"/>
    <w:rsid w:val="004E252E"/>
    <w:rsid w:val="004E4CCC"/>
    <w:rsid w:val="004F1E12"/>
    <w:rsid w:val="004F210B"/>
    <w:rsid w:val="0050455A"/>
    <w:rsid w:val="005071B9"/>
    <w:rsid w:val="005119E2"/>
    <w:rsid w:val="00516E59"/>
    <w:rsid w:val="005449CD"/>
    <w:rsid w:val="00574C66"/>
    <w:rsid w:val="00587499"/>
    <w:rsid w:val="0059308A"/>
    <w:rsid w:val="005A484F"/>
    <w:rsid w:val="005A502A"/>
    <w:rsid w:val="005F349F"/>
    <w:rsid w:val="006051C9"/>
    <w:rsid w:val="00614028"/>
    <w:rsid w:val="00615142"/>
    <w:rsid w:val="00642A76"/>
    <w:rsid w:val="00642AD2"/>
    <w:rsid w:val="00657C52"/>
    <w:rsid w:val="00667CAC"/>
    <w:rsid w:val="00674B6D"/>
    <w:rsid w:val="006856C5"/>
    <w:rsid w:val="006A5950"/>
    <w:rsid w:val="006A6B9F"/>
    <w:rsid w:val="006C15F0"/>
    <w:rsid w:val="006C478E"/>
    <w:rsid w:val="006D0548"/>
    <w:rsid w:val="006D1939"/>
    <w:rsid w:val="006D557F"/>
    <w:rsid w:val="006D7CD1"/>
    <w:rsid w:val="006F4D70"/>
    <w:rsid w:val="00704EA6"/>
    <w:rsid w:val="00705C97"/>
    <w:rsid w:val="007120D2"/>
    <w:rsid w:val="00736E2A"/>
    <w:rsid w:val="0074213F"/>
    <w:rsid w:val="007726C8"/>
    <w:rsid w:val="007771E4"/>
    <w:rsid w:val="00794E2D"/>
    <w:rsid w:val="007B6A1E"/>
    <w:rsid w:val="007C393A"/>
    <w:rsid w:val="007D37C5"/>
    <w:rsid w:val="007D4D98"/>
    <w:rsid w:val="007F35B3"/>
    <w:rsid w:val="00813119"/>
    <w:rsid w:val="00831417"/>
    <w:rsid w:val="008404C5"/>
    <w:rsid w:val="008417FF"/>
    <w:rsid w:val="00842BC7"/>
    <w:rsid w:val="00851BDD"/>
    <w:rsid w:val="00871D9C"/>
    <w:rsid w:val="00875D2F"/>
    <w:rsid w:val="0087718C"/>
    <w:rsid w:val="008946CA"/>
    <w:rsid w:val="008A4E5B"/>
    <w:rsid w:val="008A7882"/>
    <w:rsid w:val="008B3C73"/>
    <w:rsid w:val="008D601C"/>
    <w:rsid w:val="008F49BA"/>
    <w:rsid w:val="00903B54"/>
    <w:rsid w:val="00903ED2"/>
    <w:rsid w:val="009144F5"/>
    <w:rsid w:val="00915CF3"/>
    <w:rsid w:val="0091706A"/>
    <w:rsid w:val="009268EA"/>
    <w:rsid w:val="009633BD"/>
    <w:rsid w:val="00983EA8"/>
    <w:rsid w:val="00991CB0"/>
    <w:rsid w:val="009952D0"/>
    <w:rsid w:val="009A31FA"/>
    <w:rsid w:val="009A32B0"/>
    <w:rsid w:val="009C2860"/>
    <w:rsid w:val="009C36F1"/>
    <w:rsid w:val="009E0171"/>
    <w:rsid w:val="009F5713"/>
    <w:rsid w:val="00A22B95"/>
    <w:rsid w:val="00A43310"/>
    <w:rsid w:val="00A46B63"/>
    <w:rsid w:val="00A61D80"/>
    <w:rsid w:val="00A626BB"/>
    <w:rsid w:val="00A6690D"/>
    <w:rsid w:val="00AA59D8"/>
    <w:rsid w:val="00AA6592"/>
    <w:rsid w:val="00AC1452"/>
    <w:rsid w:val="00AD647B"/>
    <w:rsid w:val="00AE597E"/>
    <w:rsid w:val="00AF6B7F"/>
    <w:rsid w:val="00B0093D"/>
    <w:rsid w:val="00B01BAF"/>
    <w:rsid w:val="00B16068"/>
    <w:rsid w:val="00B30DA4"/>
    <w:rsid w:val="00B40464"/>
    <w:rsid w:val="00B61725"/>
    <w:rsid w:val="00B82316"/>
    <w:rsid w:val="00B82B66"/>
    <w:rsid w:val="00B841CA"/>
    <w:rsid w:val="00BA27A9"/>
    <w:rsid w:val="00BA4000"/>
    <w:rsid w:val="00BB0AD0"/>
    <w:rsid w:val="00BB2E00"/>
    <w:rsid w:val="00BC2334"/>
    <w:rsid w:val="00BD0D14"/>
    <w:rsid w:val="00BF1E5B"/>
    <w:rsid w:val="00BF2707"/>
    <w:rsid w:val="00C00FE2"/>
    <w:rsid w:val="00C11AF9"/>
    <w:rsid w:val="00C2521B"/>
    <w:rsid w:val="00C56429"/>
    <w:rsid w:val="00C668DE"/>
    <w:rsid w:val="00C6711D"/>
    <w:rsid w:val="00C926C3"/>
    <w:rsid w:val="00C934A5"/>
    <w:rsid w:val="00CC5F3E"/>
    <w:rsid w:val="00CD683D"/>
    <w:rsid w:val="00CE1D6D"/>
    <w:rsid w:val="00D12338"/>
    <w:rsid w:val="00D16CE8"/>
    <w:rsid w:val="00D214F1"/>
    <w:rsid w:val="00D32C31"/>
    <w:rsid w:val="00D32D0C"/>
    <w:rsid w:val="00D72686"/>
    <w:rsid w:val="00D76F23"/>
    <w:rsid w:val="00D802DD"/>
    <w:rsid w:val="00D90636"/>
    <w:rsid w:val="00D97801"/>
    <w:rsid w:val="00DA316C"/>
    <w:rsid w:val="00DD6CEC"/>
    <w:rsid w:val="00DD7ED7"/>
    <w:rsid w:val="00E342E4"/>
    <w:rsid w:val="00E409E0"/>
    <w:rsid w:val="00E44DA4"/>
    <w:rsid w:val="00E617FB"/>
    <w:rsid w:val="00E63922"/>
    <w:rsid w:val="00E7728C"/>
    <w:rsid w:val="00E82500"/>
    <w:rsid w:val="00E875BC"/>
    <w:rsid w:val="00EB29FA"/>
    <w:rsid w:val="00EB3CFE"/>
    <w:rsid w:val="00EC0A3D"/>
    <w:rsid w:val="00ED314D"/>
    <w:rsid w:val="00F04EFD"/>
    <w:rsid w:val="00F15B98"/>
    <w:rsid w:val="00F228CF"/>
    <w:rsid w:val="00F32555"/>
    <w:rsid w:val="00F51589"/>
    <w:rsid w:val="00F5570A"/>
    <w:rsid w:val="00F621E3"/>
    <w:rsid w:val="00F725F0"/>
    <w:rsid w:val="00F868A3"/>
    <w:rsid w:val="00F9194E"/>
    <w:rsid w:val="00F93F59"/>
    <w:rsid w:val="00FA1146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69980-97F3-4C7C-96A0-B28B46F3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D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3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08A"/>
  </w:style>
  <w:style w:type="paragraph" w:styleId="Pidipagina">
    <w:name w:val="footer"/>
    <w:basedOn w:val="Normale"/>
    <w:link w:val="PidipaginaCarattere"/>
    <w:uiPriority w:val="99"/>
    <w:unhideWhenUsed/>
    <w:rsid w:val="00593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08A"/>
  </w:style>
  <w:style w:type="paragraph" w:styleId="NormaleWeb">
    <w:name w:val="Normal (Web)"/>
    <w:basedOn w:val="Normale"/>
    <w:uiPriority w:val="99"/>
    <w:semiHidden/>
    <w:unhideWhenUsed/>
    <w:rsid w:val="001A551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11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1532EF"/>
    <w:pPr>
      <w:spacing w:after="120" w:line="276" w:lineRule="auto"/>
    </w:pPr>
    <w:rPr>
      <w:rFonts w:ascii="Book Antiqua" w:hAnsi="Book Antiqua"/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532EF"/>
    <w:rPr>
      <w:rFonts w:ascii="Book Antiqua" w:hAnsi="Book Antiqua"/>
      <w:sz w:val="26"/>
    </w:rPr>
  </w:style>
  <w:style w:type="paragraph" w:styleId="Bibliografia">
    <w:name w:val="Bibliography"/>
    <w:basedOn w:val="Normale"/>
    <w:qFormat/>
    <w:rsid w:val="009952D0"/>
    <w:pPr>
      <w:spacing w:after="20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E757-43D0-4BF4-B05B-A6A85C3A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Attanasi</dc:creator>
  <cp:lastModifiedBy>utente</cp:lastModifiedBy>
  <cp:revision>2</cp:revision>
  <cp:lastPrinted>2019-02-27T15:08:00Z</cp:lastPrinted>
  <dcterms:created xsi:type="dcterms:W3CDTF">2019-03-06T08:07:00Z</dcterms:created>
  <dcterms:modified xsi:type="dcterms:W3CDTF">2019-03-06T08:07:00Z</dcterms:modified>
</cp:coreProperties>
</file>