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586" w:rsidRPr="00022A39" w:rsidRDefault="00787820" w:rsidP="00086309">
      <w:pPr>
        <w:shd w:val="clear" w:color="auto" w:fill="FFFFFF"/>
        <w:spacing w:after="0" w:line="360" w:lineRule="auto"/>
        <w:jc w:val="both"/>
        <w:rPr>
          <w:rStyle w:val="t21"/>
          <w:rFonts w:ascii="Times New Roman" w:hAnsi="Times New Roman" w:cs="Times New Roman"/>
          <w:color w:val="auto"/>
          <w:sz w:val="44"/>
          <w:szCs w:val="44"/>
        </w:rPr>
      </w:pPr>
      <w:bookmarkStart w:id="0" w:name="_GoBack"/>
      <w:bookmarkEnd w:id="0"/>
      <w:r w:rsidRPr="00022A39">
        <w:rPr>
          <w:rFonts w:ascii="Times New Roman" w:eastAsiaTheme="majorEastAsia" w:hAnsi="Times New Roman" w:cs="Times New Roman"/>
          <w:b/>
          <w:bCs/>
          <w:sz w:val="44"/>
          <w:szCs w:val="44"/>
        </w:rPr>
        <w:t>Credito d’imposta nuovi investimenti nel Mezzogiorno</w:t>
      </w:r>
    </w:p>
    <w:p w:rsidR="00201782" w:rsidRPr="00022A39" w:rsidRDefault="00201782" w:rsidP="007F5D89">
      <w:pPr>
        <w:autoSpaceDE w:val="0"/>
        <w:autoSpaceDN w:val="0"/>
        <w:adjustRightInd w:val="0"/>
        <w:spacing w:after="0" w:line="360" w:lineRule="auto"/>
        <w:jc w:val="both"/>
        <w:rPr>
          <w:rFonts w:ascii="Times New Roman" w:hAnsi="Times New Roman" w:cs="Times New Roman"/>
          <w:sz w:val="44"/>
          <w:szCs w:val="44"/>
        </w:rPr>
      </w:pPr>
    </w:p>
    <w:p w:rsidR="007A5954" w:rsidRPr="00202D2E" w:rsidRDefault="007A5954" w:rsidP="00BB7771">
      <w:pPr>
        <w:shd w:val="clear" w:color="auto" w:fill="FFFFFF"/>
        <w:spacing w:after="0" w:line="360" w:lineRule="auto"/>
        <w:jc w:val="both"/>
        <w:rPr>
          <w:rStyle w:val="t21"/>
          <w:rFonts w:ascii="Times New Roman" w:hAnsi="Times New Roman" w:cs="Times New Roman"/>
          <w:color w:val="auto"/>
          <w:sz w:val="24"/>
          <w:szCs w:val="24"/>
        </w:rPr>
      </w:pPr>
    </w:p>
    <w:p w:rsidR="00377952" w:rsidRPr="00202D2E" w:rsidRDefault="00377952" w:rsidP="00BB7771">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 xml:space="preserve">A decorrere dal 1° gennaio 2016 e fino alla chiusura del periodo di imposta in corso al 31 dicembre 2019 è riconosciuto un credito di imposta per investimenti in beni strumentali nuovi destinati a strutture produttive </w:t>
      </w:r>
      <w:r w:rsidR="00435742" w:rsidRPr="00202D2E">
        <w:rPr>
          <w:rStyle w:val="t21"/>
          <w:rFonts w:ascii="Times New Roman" w:hAnsi="Times New Roman" w:cs="Times New Roman"/>
          <w:color w:val="auto"/>
          <w:sz w:val="24"/>
          <w:szCs w:val="24"/>
        </w:rPr>
        <w:t>nelle regioni del Mezzogiorno (</w:t>
      </w:r>
      <w:r w:rsidRPr="00202D2E">
        <w:rPr>
          <w:rStyle w:val="t21"/>
          <w:rFonts w:ascii="Times New Roman" w:hAnsi="Times New Roman" w:cs="Times New Roman"/>
          <w:color w:val="auto"/>
          <w:sz w:val="24"/>
          <w:szCs w:val="24"/>
        </w:rPr>
        <w:t>in Campania, Puglia, Basilicata, Calabria e Sicilia, nonché in Molise, Sardegna e Abruzzo</w:t>
      </w:r>
      <w:r w:rsidR="00435742" w:rsidRPr="00202D2E">
        <w:rPr>
          <w:rStyle w:val="t21"/>
          <w:rFonts w:ascii="Times New Roman" w:hAnsi="Times New Roman" w:cs="Times New Roman"/>
          <w:color w:val="auto"/>
          <w:sz w:val="24"/>
          <w:szCs w:val="24"/>
        </w:rPr>
        <w:t>)</w:t>
      </w:r>
      <w:r w:rsidRPr="00202D2E">
        <w:rPr>
          <w:rStyle w:val="t21"/>
          <w:rFonts w:ascii="Times New Roman" w:hAnsi="Times New Roman" w:cs="Times New Roman"/>
          <w:color w:val="auto"/>
          <w:sz w:val="24"/>
          <w:szCs w:val="24"/>
        </w:rPr>
        <w:t>, in misura variabile dal 10 al 20% a seconda delle dimensioni aziendali.</w:t>
      </w:r>
      <w:r w:rsidR="00BB7771" w:rsidRPr="00202D2E">
        <w:rPr>
          <w:rFonts w:ascii="Times New Roman" w:hAnsi="Times New Roman" w:cs="Times New Roman"/>
          <w:sz w:val="24"/>
          <w:szCs w:val="24"/>
        </w:rPr>
        <w:t xml:space="preserve"> </w:t>
      </w:r>
      <w:r w:rsidR="00BB7771" w:rsidRPr="00202D2E">
        <w:rPr>
          <w:rStyle w:val="t21"/>
          <w:rFonts w:ascii="Times New Roman" w:hAnsi="Times New Roman" w:cs="Times New Roman"/>
          <w:color w:val="auto"/>
          <w:sz w:val="24"/>
          <w:szCs w:val="24"/>
        </w:rPr>
        <w:t>L'intento è sostenere l’economia delle Regioni meridionali attraverso una serie di misure per accelerare gli investimenti delle imprese. Il Governo ritiene, infatti, che nel Mezzogiorno sia necessario migliorare l’implementazione delle politiche nazionali.</w:t>
      </w:r>
    </w:p>
    <w:p w:rsidR="00201782" w:rsidRPr="00022A39" w:rsidRDefault="00BD0FB9" w:rsidP="007F5D89">
      <w:pPr>
        <w:autoSpaceDE w:val="0"/>
        <w:autoSpaceDN w:val="0"/>
        <w:adjustRightInd w:val="0"/>
        <w:spacing w:after="0" w:line="360" w:lineRule="auto"/>
        <w:jc w:val="both"/>
        <w:rPr>
          <w:rFonts w:ascii="Times New Roman" w:hAnsi="Times New Roman" w:cs="Times New Roman"/>
          <w:b/>
          <w:sz w:val="24"/>
          <w:szCs w:val="24"/>
        </w:rPr>
      </w:pPr>
      <w:r w:rsidRPr="00202D2E">
        <w:rPr>
          <w:rFonts w:ascii="Times New Roman" w:hAnsi="Times New Roman" w:cs="Times New Roman"/>
          <w:sz w:val="24"/>
          <w:szCs w:val="24"/>
        </w:rPr>
        <w:t xml:space="preserve">Questa la novità introdotta dalla </w:t>
      </w:r>
      <w:r w:rsidRPr="00022A39">
        <w:rPr>
          <w:rFonts w:ascii="Times New Roman" w:hAnsi="Times New Roman" w:cs="Times New Roman"/>
          <w:b/>
          <w:sz w:val="24"/>
          <w:szCs w:val="24"/>
        </w:rPr>
        <w:t>Legge di stabilità (</w:t>
      </w:r>
      <w:r w:rsidR="004B71D9" w:rsidRPr="00022A39">
        <w:rPr>
          <w:rFonts w:ascii="Times New Roman" w:hAnsi="Times New Roman" w:cs="Times New Roman"/>
          <w:b/>
          <w:sz w:val="24"/>
          <w:szCs w:val="24"/>
        </w:rPr>
        <w:t xml:space="preserve">Legge 28 dicembre 2015, n. 208) </w:t>
      </w:r>
      <w:r w:rsidRPr="00022A39">
        <w:rPr>
          <w:rFonts w:ascii="Times New Roman" w:hAnsi="Times New Roman" w:cs="Times New Roman"/>
          <w:b/>
          <w:sz w:val="24"/>
          <w:szCs w:val="24"/>
        </w:rPr>
        <w:t xml:space="preserve">per il 2016 </w:t>
      </w:r>
      <w:r w:rsidR="007015AF" w:rsidRPr="00022A39">
        <w:rPr>
          <w:rFonts w:ascii="Times New Roman" w:hAnsi="Times New Roman" w:cs="Times New Roman"/>
          <w:b/>
          <w:sz w:val="24"/>
          <w:szCs w:val="24"/>
        </w:rPr>
        <w:t>ai commi da 98 a 108</w:t>
      </w:r>
      <w:r w:rsidR="00A53C0B" w:rsidRPr="00022A39">
        <w:rPr>
          <w:rFonts w:ascii="Times New Roman" w:hAnsi="Times New Roman" w:cs="Times New Roman"/>
          <w:b/>
          <w:sz w:val="24"/>
          <w:szCs w:val="24"/>
        </w:rPr>
        <w:t xml:space="preserve"> dell’art. 1</w:t>
      </w:r>
      <w:r w:rsidR="007015AF" w:rsidRPr="00022A39">
        <w:rPr>
          <w:rFonts w:ascii="Times New Roman" w:hAnsi="Times New Roman" w:cs="Times New Roman"/>
          <w:b/>
          <w:sz w:val="24"/>
          <w:szCs w:val="24"/>
        </w:rPr>
        <w:t>.</w:t>
      </w:r>
    </w:p>
    <w:p w:rsidR="00C455DA" w:rsidRPr="00202D2E" w:rsidRDefault="00515B5E" w:rsidP="000B33C8">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La norma specifica anche che, alle imprese attive nel settore della produzione primaria di prodotti agricoli, nel settore della pesca e dell’acquacoltura, disciplinato dal regolamento (UE) n. 1379/2013 del Parlamento europeo e del Consiglio, dell'11 dicembre 2013, e nel settore della trasformazione e della commercializzazione di prodotti agricoli e della pesca e dell'acquacoltura, che effettuano l'acquisizione di beni strumentali nuovi, gli aiuti sono concessi nei limiti e alle condizioni previsti dalla normativa europea in materia di aiuti di Stato nei settori agricolo, forestale e delle zone rurali e ittico</w:t>
      </w:r>
      <w:r w:rsidR="000B33C8" w:rsidRPr="00202D2E">
        <w:rPr>
          <w:rFonts w:ascii="Times New Roman" w:hAnsi="Times New Roman" w:cs="Times New Roman"/>
          <w:sz w:val="24"/>
          <w:szCs w:val="24"/>
        </w:rPr>
        <w:t>.</w:t>
      </w:r>
      <w:r w:rsidR="00252ADC" w:rsidRPr="00202D2E">
        <w:rPr>
          <w:rFonts w:ascii="Times New Roman" w:hAnsi="Times New Roman" w:cs="Times New Roman"/>
          <w:sz w:val="24"/>
          <w:szCs w:val="24"/>
        </w:rPr>
        <w:t xml:space="preserve"> </w:t>
      </w:r>
    </w:p>
    <w:p w:rsidR="000B33C8" w:rsidRPr="00202D2E" w:rsidRDefault="00E71415" w:rsidP="000B33C8">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 xml:space="preserve">La disciplina del nuovo credito d'imposta ricalca sostanzialmente quella dell'originario bonus introdotto dall'art. 8 della Legge 23 dicembre 2000, n. 388 (Legge finanziaria 2001) e </w:t>
      </w:r>
      <w:r w:rsidR="000B33C8" w:rsidRPr="00202D2E">
        <w:rPr>
          <w:rFonts w:ascii="Times New Roman" w:hAnsi="Times New Roman" w:cs="Times New Roman"/>
          <w:sz w:val="24"/>
          <w:szCs w:val="24"/>
        </w:rPr>
        <w:t>dovrebbe rappresentare la prosecuzione del bonus investimenti che ha visto appena conclusa la sua operatività nel mese di giugno 2015 (ex articolo 18 del Dl 91/2014), ma con notevoli differenze che lo rendono sicuramente più vicino a quello introdotto dalla legge finanziaria per il 2007 (n. 296/2006).</w:t>
      </w:r>
    </w:p>
    <w:p w:rsidR="000B33C8" w:rsidRPr="00202D2E" w:rsidRDefault="000B33C8" w:rsidP="000B33C8">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In particolare, rispetto al credito di imposta di cui al decreto competitività (Dl 91/2014), viene:</w:t>
      </w:r>
    </w:p>
    <w:p w:rsidR="000B33C8" w:rsidRPr="00202D2E" w:rsidRDefault="00C455DA" w:rsidP="000B33C8">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w:t>
      </w:r>
      <w:r w:rsidR="000B33C8" w:rsidRPr="00202D2E">
        <w:rPr>
          <w:rFonts w:ascii="Times New Roman" w:hAnsi="Times New Roman" w:cs="Times New Roman"/>
          <w:sz w:val="24"/>
          <w:szCs w:val="24"/>
        </w:rPr>
        <w:t>ridotto l'ambito territoriale di applicazione (dall'intero territorio nazionale si passa alle sole aree svantaggiate del Paese);</w:t>
      </w:r>
    </w:p>
    <w:p w:rsidR="000B33C8" w:rsidRPr="00202D2E" w:rsidRDefault="00C455DA" w:rsidP="000B33C8">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w:t>
      </w:r>
      <w:r w:rsidR="000B33C8" w:rsidRPr="00202D2E">
        <w:rPr>
          <w:rFonts w:ascii="Times New Roman" w:hAnsi="Times New Roman" w:cs="Times New Roman"/>
          <w:sz w:val="24"/>
          <w:szCs w:val="24"/>
        </w:rPr>
        <w:t>ampliata la tipologia di beni agevolabili (non solo beni rientranti nella divisione 28 della Classificazione Ateco 2007, ma beni classificabili come impianti, macchinari e attrezzature varie);</w:t>
      </w:r>
    </w:p>
    <w:p w:rsidR="000B33C8" w:rsidRPr="00202D2E" w:rsidRDefault="00C455DA" w:rsidP="000B33C8">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w:t>
      </w:r>
      <w:r w:rsidR="000B33C8" w:rsidRPr="00202D2E">
        <w:rPr>
          <w:rFonts w:ascii="Times New Roman" w:hAnsi="Times New Roman" w:cs="Times New Roman"/>
          <w:sz w:val="24"/>
          <w:szCs w:val="24"/>
        </w:rPr>
        <w:t>diversificata la percentuale di aiuto (dal 15% generale si passa da un minimo del 10% a un massimo del 20% in relazione alla dimensione di impresa);</w:t>
      </w:r>
    </w:p>
    <w:p w:rsidR="00377952" w:rsidRPr="00202D2E" w:rsidRDefault="00C455DA" w:rsidP="000B33C8">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lastRenderedPageBreak/>
        <w:t>-</w:t>
      </w:r>
      <w:r w:rsidR="000B33C8" w:rsidRPr="00202D2E">
        <w:rPr>
          <w:rFonts w:ascii="Times New Roman" w:hAnsi="Times New Roman" w:cs="Times New Roman"/>
          <w:sz w:val="24"/>
          <w:szCs w:val="24"/>
        </w:rPr>
        <w:t>modificata la base di calcolo dell'incentivo (si abbandona la media degli investimenti dei cinque anni precedenti, per ritornare all'investimento netto dato come differenza tra costo complessivo dei beni e ammortamenti).</w:t>
      </w:r>
    </w:p>
    <w:p w:rsidR="00252ADC" w:rsidRPr="00202D2E" w:rsidRDefault="00252ADC" w:rsidP="000B33C8">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 xml:space="preserve">Diversamente dalle precedenti regolamentazioni, però, la nuova disciplina non appare del tutto completa, nel senso che mancano alcune indicazioni presenti nelle precedenti versioni; si pensi per fare un esempio - alla mancata indicazione del trattamento tributario del predetto credito. </w:t>
      </w:r>
      <w:r w:rsidR="00147351" w:rsidRPr="00202D2E">
        <w:rPr>
          <w:rFonts w:ascii="Times New Roman" w:hAnsi="Times New Roman" w:cs="Times New Roman"/>
          <w:sz w:val="24"/>
          <w:szCs w:val="24"/>
        </w:rPr>
        <w:t>Sul punto</w:t>
      </w:r>
      <w:r w:rsidRPr="00202D2E">
        <w:rPr>
          <w:rFonts w:ascii="Times New Roman" w:hAnsi="Times New Roman" w:cs="Times New Roman"/>
          <w:sz w:val="24"/>
          <w:szCs w:val="24"/>
        </w:rPr>
        <w:t xml:space="preserve">, stante la sostanziale identità dei benefici, si ritiene che </w:t>
      </w:r>
      <w:r w:rsidR="00147351" w:rsidRPr="00202D2E">
        <w:rPr>
          <w:rFonts w:ascii="Times New Roman" w:hAnsi="Times New Roman" w:cs="Times New Roman"/>
          <w:sz w:val="24"/>
          <w:szCs w:val="24"/>
        </w:rPr>
        <w:t>si possa far</w:t>
      </w:r>
      <w:r w:rsidRPr="00202D2E">
        <w:rPr>
          <w:rFonts w:ascii="Times New Roman" w:hAnsi="Times New Roman" w:cs="Times New Roman"/>
          <w:sz w:val="24"/>
          <w:szCs w:val="24"/>
        </w:rPr>
        <w:t xml:space="preserve"> riferimento alle discipline ed ai chiarimenti forniti in relazione ai precedenti crediti d'imposta.</w:t>
      </w:r>
    </w:p>
    <w:p w:rsidR="00377952" w:rsidRPr="00202D2E" w:rsidRDefault="000205F5" w:rsidP="00A61BF3">
      <w:pPr>
        <w:shd w:val="clear" w:color="auto" w:fill="FFFFFF"/>
        <w:spacing w:after="0" w:line="360" w:lineRule="auto"/>
        <w:jc w:val="both"/>
        <w:rPr>
          <w:rFonts w:ascii="Times New Roman" w:hAnsi="Times New Roman" w:cs="Times New Roman"/>
          <w:b/>
          <w:sz w:val="24"/>
          <w:szCs w:val="24"/>
        </w:rPr>
      </w:pPr>
      <w:r w:rsidRPr="00202D2E">
        <w:rPr>
          <w:rFonts w:ascii="Times New Roman" w:hAnsi="Times New Roman" w:cs="Times New Roman"/>
          <w:b/>
          <w:sz w:val="24"/>
          <w:szCs w:val="24"/>
        </w:rPr>
        <w:t>Chi può beneficiare del bonus</w:t>
      </w:r>
    </w:p>
    <w:p w:rsidR="00982D1B" w:rsidRPr="00202D2E" w:rsidRDefault="00A14001" w:rsidP="00A61BF3">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Il credito d’imposta è riservato alle “imprese”</w:t>
      </w:r>
      <w:r w:rsidR="005A1427" w:rsidRPr="00202D2E">
        <w:rPr>
          <w:rFonts w:ascii="Times New Roman" w:hAnsi="Times New Roman" w:cs="Times New Roman"/>
          <w:sz w:val="24"/>
          <w:szCs w:val="24"/>
        </w:rPr>
        <w:t xml:space="preserve"> che effettuano gli investimenti ai sensi del comma 98 laddove sono del tutto ininfluenti </w:t>
      </w:r>
      <w:r w:rsidR="00FB5B42" w:rsidRPr="00202D2E">
        <w:rPr>
          <w:rFonts w:ascii="Times New Roman" w:hAnsi="Times New Roman" w:cs="Times New Roman"/>
          <w:sz w:val="24"/>
          <w:szCs w:val="24"/>
        </w:rPr>
        <w:t>la natura giuridica assunta dall’impresa beneficiaria ed il regime di contabilità in uso</w:t>
      </w:r>
      <w:r w:rsidR="007F0DEE" w:rsidRPr="00202D2E">
        <w:rPr>
          <w:rFonts w:ascii="Times New Roman" w:hAnsi="Times New Roman" w:cs="Times New Roman"/>
          <w:sz w:val="24"/>
          <w:szCs w:val="24"/>
        </w:rPr>
        <w:t xml:space="preserve">. Ciò significa che sono ammesse le imprese in forma individuale </w:t>
      </w:r>
      <w:r w:rsidR="008130CC" w:rsidRPr="00202D2E">
        <w:rPr>
          <w:rFonts w:ascii="Times New Roman" w:hAnsi="Times New Roman" w:cs="Times New Roman"/>
          <w:sz w:val="24"/>
          <w:szCs w:val="24"/>
        </w:rPr>
        <w:t>così come le società di persone o</w:t>
      </w:r>
      <w:r w:rsidR="0088679F" w:rsidRPr="00202D2E">
        <w:rPr>
          <w:rFonts w:ascii="Times New Roman" w:hAnsi="Times New Roman" w:cs="Times New Roman"/>
          <w:sz w:val="24"/>
          <w:szCs w:val="24"/>
        </w:rPr>
        <w:t xml:space="preserve"> </w:t>
      </w:r>
      <w:r w:rsidR="008130CC" w:rsidRPr="00202D2E">
        <w:rPr>
          <w:rFonts w:ascii="Times New Roman" w:hAnsi="Times New Roman" w:cs="Times New Roman"/>
          <w:sz w:val="24"/>
          <w:szCs w:val="24"/>
        </w:rPr>
        <w:t>le società di capitali. Ed ancora</w:t>
      </w:r>
      <w:r w:rsidR="0088679F" w:rsidRPr="00202D2E">
        <w:rPr>
          <w:rFonts w:ascii="Times New Roman" w:hAnsi="Times New Roman" w:cs="Times New Roman"/>
          <w:sz w:val="24"/>
          <w:szCs w:val="24"/>
        </w:rPr>
        <w:t>,</w:t>
      </w:r>
      <w:r w:rsidR="008130CC" w:rsidRPr="00202D2E">
        <w:rPr>
          <w:rFonts w:ascii="Times New Roman" w:hAnsi="Times New Roman" w:cs="Times New Roman"/>
          <w:sz w:val="24"/>
          <w:szCs w:val="24"/>
        </w:rPr>
        <w:t xml:space="preserve"> </w:t>
      </w:r>
      <w:r w:rsidR="009576AB" w:rsidRPr="00202D2E">
        <w:rPr>
          <w:rFonts w:ascii="Times New Roman" w:hAnsi="Times New Roman" w:cs="Times New Roman"/>
          <w:sz w:val="24"/>
          <w:szCs w:val="24"/>
        </w:rPr>
        <w:t xml:space="preserve">l’agevolazione sussiste anche per le imprese in regime di contabilità semplificata </w:t>
      </w:r>
      <w:r w:rsidR="00FE5E07" w:rsidRPr="00202D2E">
        <w:rPr>
          <w:rFonts w:ascii="Times New Roman" w:hAnsi="Times New Roman" w:cs="Times New Roman"/>
          <w:sz w:val="24"/>
          <w:szCs w:val="24"/>
        </w:rPr>
        <w:t xml:space="preserve">in assenza di un espresso divieto contenuto nella norma ed altresì per gli enti non commerciali </w:t>
      </w:r>
      <w:r w:rsidR="001B5C77" w:rsidRPr="00202D2E">
        <w:rPr>
          <w:rFonts w:ascii="Times New Roman" w:hAnsi="Times New Roman" w:cs="Times New Roman"/>
          <w:sz w:val="24"/>
          <w:szCs w:val="24"/>
        </w:rPr>
        <w:t>con riferimento all’attività commerciale eventualmente esercitata. (circ. n. 38/E/2008).</w:t>
      </w:r>
    </w:p>
    <w:p w:rsidR="00982D1B" w:rsidRPr="00202D2E" w:rsidRDefault="00982D1B" w:rsidP="00A61BF3">
      <w:pPr>
        <w:shd w:val="clear" w:color="auto" w:fill="FFFFFF"/>
        <w:spacing w:after="0" w:line="360" w:lineRule="auto"/>
        <w:jc w:val="both"/>
        <w:rPr>
          <w:rFonts w:ascii="Times New Roman" w:hAnsi="Times New Roman" w:cs="Times New Roman"/>
          <w:b/>
          <w:sz w:val="24"/>
          <w:szCs w:val="24"/>
        </w:rPr>
      </w:pPr>
      <w:r w:rsidRPr="00202D2E">
        <w:rPr>
          <w:rFonts w:ascii="Times New Roman" w:hAnsi="Times New Roman" w:cs="Times New Roman"/>
          <w:b/>
          <w:sz w:val="24"/>
          <w:szCs w:val="24"/>
        </w:rPr>
        <w:t>Quali sono i beni agevolabili</w:t>
      </w:r>
    </w:p>
    <w:p w:rsidR="00FF0154" w:rsidRPr="00202D2E" w:rsidRDefault="00FF0154" w:rsidP="00FF0154">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Il comma 99 specifica che sono agevolabili gli investimenti, facenti parte di un progetto di investimento iniziale come definito all'articolo 2, punti 49, 50 e 51, del regolamento (UE) n. 651/2014 della Commissione, del 17 giugno 2014, che detta il regime definitorio per gli aiuti di stato compatibili con il mercato comune, relativi all’acquisto, anche mediante contratti di locazione finanziaria, di macchinari, impianti e attrezzature varie destinati a strutture produttive già esistenti o che vengono impiantate nel territorio.</w:t>
      </w:r>
    </w:p>
    <w:p w:rsidR="00FE27C2" w:rsidRPr="00202D2E" w:rsidRDefault="00FE27C2" w:rsidP="00FE27C2">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Nello specifico</w:t>
      </w:r>
      <w:r w:rsidRPr="00202D2E">
        <w:rPr>
          <w:rFonts w:ascii="Times New Roman" w:hAnsi="Times New Roman" w:cs="Times New Roman"/>
          <w:sz w:val="24"/>
          <w:szCs w:val="24"/>
        </w:rPr>
        <w:t xml:space="preserve"> </w:t>
      </w:r>
      <w:r w:rsidRPr="00202D2E">
        <w:rPr>
          <w:rStyle w:val="t21"/>
          <w:rFonts w:ascii="Times New Roman" w:hAnsi="Times New Roman" w:cs="Times New Roman"/>
          <w:color w:val="auto"/>
          <w:sz w:val="24"/>
          <w:szCs w:val="24"/>
        </w:rPr>
        <w:t>l’agevolazione può essere concessa solamente agli investimenti in beni strumentali nuovi per:</w:t>
      </w:r>
    </w:p>
    <w:p w:rsidR="00FE27C2" w:rsidRPr="00202D2E" w:rsidRDefault="00FE27C2" w:rsidP="00FE27C2">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 la realizzazione di un nuovo stabilimento;</w:t>
      </w:r>
    </w:p>
    <w:p w:rsidR="00FE27C2" w:rsidRPr="00202D2E" w:rsidRDefault="00FE27C2" w:rsidP="00FE27C2">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 l’ampliamento di uno stabilimento esistente;</w:t>
      </w:r>
    </w:p>
    <w:p w:rsidR="00FE27C2" w:rsidRPr="00202D2E" w:rsidRDefault="00FE27C2" w:rsidP="00FE27C2">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 la diversificazione della produzione di uno stabilimento;</w:t>
      </w:r>
    </w:p>
    <w:p w:rsidR="00FE27C2" w:rsidRPr="00202D2E" w:rsidRDefault="00FE27C2" w:rsidP="00FE27C2">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 la trasformazione radicale del processo produttivo complessivo di uno stabilimento esistente;</w:t>
      </w:r>
    </w:p>
    <w:p w:rsidR="002B711B" w:rsidRPr="00202D2E" w:rsidRDefault="00FE27C2" w:rsidP="00FE27C2">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 la riattivazione di uno stabilimento chiuso o che sarebbe stato chiuso qualora non fosse stato acquisito.</w:t>
      </w:r>
    </w:p>
    <w:p w:rsidR="0081668F" w:rsidRPr="00202D2E" w:rsidRDefault="0081668F" w:rsidP="00FE27C2">
      <w:pPr>
        <w:shd w:val="clear" w:color="auto" w:fill="FFFFFF"/>
        <w:spacing w:after="0" w:line="360" w:lineRule="auto"/>
        <w:jc w:val="both"/>
        <w:rPr>
          <w:rStyle w:val="t21"/>
          <w:rFonts w:ascii="Times New Roman" w:hAnsi="Times New Roman" w:cs="Times New Roman"/>
          <w:b/>
          <w:color w:val="auto"/>
          <w:sz w:val="24"/>
          <w:szCs w:val="24"/>
        </w:rPr>
      </w:pPr>
      <w:r w:rsidRPr="00202D2E">
        <w:rPr>
          <w:rStyle w:val="t21"/>
          <w:rFonts w:ascii="Times New Roman" w:hAnsi="Times New Roman" w:cs="Times New Roman"/>
          <w:color w:val="auto"/>
          <w:sz w:val="24"/>
          <w:szCs w:val="24"/>
        </w:rPr>
        <w:t>Pertanto, vanno considerati esclusi tutti gli investimenti che non realizzino una fattispecie di investimento iniziale (ad esempio sostituzi</w:t>
      </w:r>
      <w:r w:rsidR="00E878CF" w:rsidRPr="00202D2E">
        <w:rPr>
          <w:rStyle w:val="t21"/>
          <w:rFonts w:ascii="Times New Roman" w:hAnsi="Times New Roman" w:cs="Times New Roman"/>
          <w:color w:val="auto"/>
          <w:sz w:val="24"/>
          <w:szCs w:val="24"/>
        </w:rPr>
        <w:t xml:space="preserve">one di singoli beni strumentali) ed altresì </w:t>
      </w:r>
      <w:r w:rsidR="006530E8" w:rsidRPr="00202D2E">
        <w:rPr>
          <w:rStyle w:val="t21"/>
          <w:rFonts w:ascii="Times New Roman" w:hAnsi="Times New Roman" w:cs="Times New Roman"/>
          <w:color w:val="auto"/>
          <w:sz w:val="24"/>
          <w:szCs w:val="24"/>
        </w:rPr>
        <w:t>gli investimenti in immobili e veicoli in quanto non richiamati.</w:t>
      </w:r>
    </w:p>
    <w:p w:rsidR="000D3C60" w:rsidRPr="00202D2E" w:rsidRDefault="000D3C60" w:rsidP="000D3C60">
      <w:pPr>
        <w:shd w:val="clear" w:color="auto" w:fill="FFFFFF"/>
        <w:spacing w:after="0" w:line="360" w:lineRule="auto"/>
        <w:jc w:val="both"/>
        <w:rPr>
          <w:rFonts w:ascii="Times New Roman" w:hAnsi="Times New Roman" w:cs="Times New Roman"/>
          <w:b/>
          <w:sz w:val="24"/>
          <w:szCs w:val="24"/>
        </w:rPr>
      </w:pPr>
      <w:r w:rsidRPr="00202D2E">
        <w:rPr>
          <w:rFonts w:ascii="Times New Roman" w:hAnsi="Times New Roman" w:cs="Times New Roman"/>
          <w:b/>
          <w:sz w:val="24"/>
          <w:szCs w:val="24"/>
        </w:rPr>
        <w:lastRenderedPageBreak/>
        <w:t>Soggetti esclusi</w:t>
      </w:r>
    </w:p>
    <w:p w:rsidR="002144D1" w:rsidRPr="00202D2E" w:rsidRDefault="002144D1" w:rsidP="002144D1">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Il comma 100 prevede che il credito di imposta non viene riconosciuto ai soggetti che operano nei settori dell’industria siderurgica, carbonifera, della costruzione navale, delle fibre sintetiche, dei trasporti e delle relative infrastrutture, della produzione e della distribuzione di energia e delle infrastrutture energetiche, nonché ai settori creditizio, finanziario e assicurativo e neppure alle imprese in difficoltà come definite dalla comunicazione della Commissione europea 2014/C 249/01 del 31 luglio 2014.</w:t>
      </w:r>
    </w:p>
    <w:p w:rsidR="00BF16D1" w:rsidRPr="00202D2E" w:rsidRDefault="00570B19" w:rsidP="00BF16D1">
      <w:pPr>
        <w:shd w:val="clear" w:color="auto" w:fill="FFFFFF"/>
        <w:spacing w:after="0" w:line="360" w:lineRule="auto"/>
        <w:jc w:val="both"/>
        <w:rPr>
          <w:rFonts w:ascii="Times New Roman" w:hAnsi="Times New Roman" w:cs="Times New Roman"/>
          <w:b/>
          <w:sz w:val="24"/>
          <w:szCs w:val="24"/>
        </w:rPr>
      </w:pPr>
      <w:r w:rsidRPr="00202D2E">
        <w:rPr>
          <w:rFonts w:ascii="Times New Roman" w:hAnsi="Times New Roman" w:cs="Times New Roman"/>
          <w:b/>
          <w:sz w:val="24"/>
          <w:szCs w:val="24"/>
        </w:rPr>
        <w:t>Come determinare il credi</w:t>
      </w:r>
      <w:r w:rsidR="004F2BE4" w:rsidRPr="00202D2E">
        <w:rPr>
          <w:rFonts w:ascii="Times New Roman" w:hAnsi="Times New Roman" w:cs="Times New Roman"/>
          <w:b/>
          <w:sz w:val="24"/>
          <w:szCs w:val="24"/>
        </w:rPr>
        <w:t>to d’imposta</w:t>
      </w:r>
      <w:r w:rsidR="00BF16D1" w:rsidRPr="00202D2E">
        <w:rPr>
          <w:rFonts w:ascii="Times New Roman" w:hAnsi="Times New Roman" w:cs="Times New Roman"/>
          <w:b/>
          <w:sz w:val="24"/>
          <w:szCs w:val="24"/>
        </w:rPr>
        <w:t xml:space="preserve"> </w:t>
      </w:r>
    </w:p>
    <w:p w:rsidR="00BE337F" w:rsidRPr="00202D2E" w:rsidRDefault="00BE337F" w:rsidP="00BE337F">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Il comma 101 prevede che l’agevolazione sia commisurata alla quota del costo complessivo dei beni ammissibili, nel limite massimo, per ciascun progetto di investimento, pari a 1,5 milioni di euro per le piccole imprese, a 5 milioni per le medie imprese e a 15 milioni per le grandi imprese, eccedente gli ammortamenti dedotti nel periodo d’imposta, relativi alle medesime categorie dei beni d’investimento della stessa struttura produttiva, ad esclusione degli ammortamenti dei beni che formano oggetto dell’investimento agevolato. Viene inoltre specificato che, per gli investimenti effettuati mediante contratti di locazione finanziaria, venga assunto il costo sostenuto dal locatore per l’acquisto dei beni e che questo non comprenda le spese di manutenzione.</w:t>
      </w:r>
    </w:p>
    <w:p w:rsidR="00C62F77" w:rsidRPr="00202D2E" w:rsidRDefault="000632C9" w:rsidP="00C62F77">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Orbene vanno evidenziati</w:t>
      </w:r>
      <w:r w:rsidR="00C62F77" w:rsidRPr="00202D2E">
        <w:rPr>
          <w:rStyle w:val="t21"/>
          <w:rFonts w:ascii="Times New Roman" w:hAnsi="Times New Roman" w:cs="Times New Roman"/>
          <w:color w:val="auto"/>
          <w:sz w:val="24"/>
          <w:szCs w:val="24"/>
        </w:rPr>
        <w:t xml:space="preserve"> due aspetti inerenti al calcolo dell'agevolazione e, in particolare, la determinazione dell'investimento netto. La deduzione degli ammortamenti calcolati nel periodo di imposta deve essere effettuata solo con riferimento ai beni rientranti nella stessa categoria di quelli per i quali si richiede l'agevolazione. In </w:t>
      </w:r>
      <w:r w:rsidR="00510970" w:rsidRPr="00202D2E">
        <w:rPr>
          <w:rStyle w:val="t21"/>
          <w:rFonts w:ascii="Times New Roman" w:hAnsi="Times New Roman" w:cs="Times New Roman"/>
          <w:color w:val="auto"/>
          <w:sz w:val="24"/>
          <w:szCs w:val="24"/>
        </w:rPr>
        <w:t>sostanza</w:t>
      </w:r>
      <w:r w:rsidR="00C62F77" w:rsidRPr="00202D2E">
        <w:rPr>
          <w:rStyle w:val="t21"/>
          <w:rFonts w:ascii="Times New Roman" w:hAnsi="Times New Roman" w:cs="Times New Roman"/>
          <w:color w:val="auto"/>
          <w:sz w:val="24"/>
          <w:szCs w:val="24"/>
        </w:rPr>
        <w:t>, se il progetto d'investimento ha previsto l'acquisizione nel periodo d'imposta di nuovi impianti e di nuove attrezzature, il prezzo di acquisto di tali beni deve essere ridotto degli ammortamenti degli impianti e delle attrezzature già esistenti nella struttura produttiva, senza tener conto degli ammortamenti dei beni appartenenti alle restanti categorie agevolabili, ossia i macchinari (per i quali non sono state effettuate nuove acquisizioni nello stesso periodo di imposta e unità produttiva).</w:t>
      </w:r>
    </w:p>
    <w:p w:rsidR="00C62F77" w:rsidRPr="00202D2E" w:rsidRDefault="00262B78" w:rsidP="00C62F77">
      <w:pPr>
        <w:shd w:val="clear" w:color="auto" w:fill="FFFFFF"/>
        <w:spacing w:after="0" w:line="360" w:lineRule="auto"/>
        <w:jc w:val="both"/>
        <w:rPr>
          <w:rStyle w:val="t21"/>
          <w:rFonts w:ascii="Times New Roman" w:hAnsi="Times New Roman" w:cs="Times New Roman"/>
          <w:color w:val="auto"/>
          <w:sz w:val="24"/>
          <w:szCs w:val="24"/>
        </w:rPr>
      </w:pPr>
      <w:r w:rsidRPr="00202D2E">
        <w:rPr>
          <w:rStyle w:val="t21"/>
          <w:rFonts w:ascii="Times New Roman" w:hAnsi="Times New Roman" w:cs="Times New Roman"/>
          <w:color w:val="auto"/>
          <w:sz w:val="24"/>
          <w:szCs w:val="24"/>
        </w:rPr>
        <w:t>Di poi</w:t>
      </w:r>
      <w:r w:rsidR="00C62F77" w:rsidRPr="00202D2E">
        <w:rPr>
          <w:rStyle w:val="t21"/>
          <w:rFonts w:ascii="Times New Roman" w:hAnsi="Times New Roman" w:cs="Times New Roman"/>
          <w:color w:val="auto"/>
          <w:sz w:val="24"/>
          <w:szCs w:val="24"/>
        </w:rPr>
        <w:t>, è necessario tenere conto dei cosiddetti "ammortamenti figurativi", calcolati utilizzando le aliquote d'ammortamento previste dalle tabelle ministeriali, relativamente ai beni detenuti in leasing dall'impresa beneficiaria e impiegati nella medesima struttura produttiva.</w:t>
      </w:r>
    </w:p>
    <w:p w:rsidR="00377952" w:rsidRPr="00202D2E" w:rsidRDefault="003361FD" w:rsidP="00A61BF3">
      <w:pPr>
        <w:shd w:val="clear" w:color="auto" w:fill="FFFFFF"/>
        <w:spacing w:after="0" w:line="360" w:lineRule="auto"/>
        <w:jc w:val="both"/>
        <w:rPr>
          <w:rFonts w:ascii="Times New Roman" w:hAnsi="Times New Roman" w:cs="Times New Roman"/>
          <w:b/>
          <w:sz w:val="24"/>
          <w:szCs w:val="24"/>
        </w:rPr>
      </w:pPr>
      <w:r w:rsidRPr="00202D2E">
        <w:rPr>
          <w:rFonts w:ascii="Times New Roman" w:hAnsi="Times New Roman" w:cs="Times New Roman"/>
          <w:b/>
          <w:sz w:val="24"/>
          <w:szCs w:val="24"/>
        </w:rPr>
        <w:t>Non Cumulabilità</w:t>
      </w:r>
    </w:p>
    <w:p w:rsidR="00130D6C" w:rsidRPr="00202D2E" w:rsidRDefault="00130D6C" w:rsidP="00A61BF3">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 xml:space="preserve">La norma prevede espressamente che il credito d’imposta </w:t>
      </w:r>
      <w:r w:rsidRPr="00202D2E">
        <w:rPr>
          <w:rFonts w:ascii="Times New Roman" w:hAnsi="Times New Roman" w:cs="Times New Roman"/>
          <w:bCs/>
          <w:sz w:val="24"/>
          <w:szCs w:val="24"/>
        </w:rPr>
        <w:t>non è cumulabile</w:t>
      </w:r>
      <w:r w:rsidRPr="00202D2E">
        <w:rPr>
          <w:rFonts w:ascii="Times New Roman" w:hAnsi="Times New Roman" w:cs="Times New Roman"/>
          <w:sz w:val="24"/>
          <w:szCs w:val="24"/>
        </w:rPr>
        <w:t xml:space="preserve"> con aiuti “de minimis”, né con altri aiuti di Stato che abbiano ad oggetto i medesimi costi ammissibili</w:t>
      </w:r>
    </w:p>
    <w:p w:rsidR="00703425" w:rsidRPr="00202D2E" w:rsidRDefault="00703425" w:rsidP="00703425">
      <w:pPr>
        <w:shd w:val="clear" w:color="auto" w:fill="FFFFFF"/>
        <w:spacing w:after="0" w:line="360" w:lineRule="auto"/>
        <w:jc w:val="both"/>
        <w:rPr>
          <w:rFonts w:ascii="Times New Roman" w:hAnsi="Times New Roman" w:cs="Times New Roman"/>
          <w:b/>
          <w:sz w:val="24"/>
          <w:szCs w:val="24"/>
        </w:rPr>
      </w:pPr>
      <w:r w:rsidRPr="00202D2E">
        <w:rPr>
          <w:rFonts w:ascii="Times New Roman" w:hAnsi="Times New Roman" w:cs="Times New Roman"/>
          <w:b/>
          <w:sz w:val="24"/>
          <w:szCs w:val="24"/>
        </w:rPr>
        <w:t>Modalità di utilizzazione del credito d’imposta</w:t>
      </w:r>
    </w:p>
    <w:p w:rsidR="00703425" w:rsidRPr="00202D2E" w:rsidRDefault="00703425" w:rsidP="00703425">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lastRenderedPageBreak/>
        <w:t xml:space="preserve">Il credito d’imposta dovrà essere indicato nella dichiarazione dei redditi relativa al periodo di maturazione e nelle dichiarazione dei redditi successivi fino a quello nel quale se ne conclude l’utilizzo. </w:t>
      </w:r>
    </w:p>
    <w:p w:rsidR="00703425" w:rsidRPr="00202D2E" w:rsidRDefault="00703425" w:rsidP="00703425">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Il bonus non è soggetto all’ordinario limite di utilizzo di 250.000 annui previsto dall’art. 1, comma 53, della Legge 244/2007 (Finanziaria 2008). Il credito d’imposta è utilizzabile esclusivamente in compensazione mediante modello F24. La compensazione potrà essere fruita a decorrere dal periodo di imposta in cui è stato effettuato l’investimento.</w:t>
      </w:r>
    </w:p>
    <w:p w:rsidR="00703425" w:rsidRPr="00202D2E" w:rsidRDefault="005251EB" w:rsidP="00703425">
      <w:pPr>
        <w:shd w:val="clear" w:color="auto" w:fill="FFFFFF"/>
        <w:spacing w:after="0" w:line="360" w:lineRule="auto"/>
        <w:jc w:val="both"/>
        <w:rPr>
          <w:rFonts w:ascii="Times New Roman" w:hAnsi="Times New Roman" w:cs="Times New Roman"/>
          <w:b/>
          <w:sz w:val="24"/>
          <w:szCs w:val="24"/>
        </w:rPr>
      </w:pPr>
      <w:r w:rsidRPr="00202D2E">
        <w:rPr>
          <w:rFonts w:ascii="Times New Roman" w:hAnsi="Times New Roman" w:cs="Times New Roman"/>
          <w:b/>
          <w:sz w:val="24"/>
          <w:szCs w:val="24"/>
        </w:rPr>
        <w:t>Come fruire</w:t>
      </w:r>
      <w:r w:rsidR="00703425" w:rsidRPr="00202D2E">
        <w:rPr>
          <w:rFonts w:ascii="Times New Roman" w:hAnsi="Times New Roman" w:cs="Times New Roman"/>
          <w:b/>
          <w:sz w:val="24"/>
          <w:szCs w:val="24"/>
        </w:rPr>
        <w:t xml:space="preserve"> dell’agevolazione</w:t>
      </w:r>
    </w:p>
    <w:p w:rsidR="00703425" w:rsidRPr="00202D2E" w:rsidRDefault="00703425" w:rsidP="00703425">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Prima di utilizzare il credito d’imposta, i beneficiari dovranno presentare all’Agenzia delle entrate una comunicazione.</w:t>
      </w:r>
    </w:p>
    <w:p w:rsidR="00703425" w:rsidRPr="00202D2E" w:rsidRDefault="00703425" w:rsidP="00703425">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Le modalità, i termini e il contenuto della comunicazione dovranno essere stabiliti dal Direttore dell’Agenzia delle Entrate con apposito provvedimento, da emanarsi entro 60 giorni dalla data di pubblicazione in Gazzetta Ufficiale della legge di Stabilità 2016.</w:t>
      </w:r>
    </w:p>
    <w:p w:rsidR="00703425" w:rsidRPr="00202D2E" w:rsidRDefault="00703425" w:rsidP="00703425">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L’Agenzia delle Entrate comunicherà alle imprese l’autorizzazione alla fruizione del credito di imposta.</w:t>
      </w:r>
    </w:p>
    <w:p w:rsidR="005F19CB" w:rsidRPr="00202D2E" w:rsidRDefault="005F19CB" w:rsidP="00703425">
      <w:pPr>
        <w:shd w:val="clear" w:color="auto" w:fill="FFFFFF"/>
        <w:spacing w:after="0" w:line="360" w:lineRule="auto"/>
        <w:jc w:val="both"/>
        <w:rPr>
          <w:rFonts w:ascii="Times New Roman" w:hAnsi="Times New Roman" w:cs="Times New Roman"/>
          <w:b/>
          <w:sz w:val="24"/>
          <w:szCs w:val="24"/>
        </w:rPr>
      </w:pPr>
      <w:r w:rsidRPr="00202D2E">
        <w:rPr>
          <w:rFonts w:ascii="Times New Roman" w:hAnsi="Times New Roman" w:cs="Times New Roman"/>
          <w:b/>
          <w:sz w:val="24"/>
          <w:szCs w:val="24"/>
        </w:rPr>
        <w:t>Trattamento contabile e fiscale</w:t>
      </w:r>
    </w:p>
    <w:p w:rsidR="00195A51" w:rsidRPr="00202D2E" w:rsidRDefault="00195A51" w:rsidP="00195A51">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Il credito d'im</w:t>
      </w:r>
      <w:r w:rsidR="00E36E91" w:rsidRPr="00202D2E">
        <w:rPr>
          <w:rFonts w:ascii="Times New Roman" w:hAnsi="Times New Roman" w:cs="Times New Roman"/>
          <w:sz w:val="24"/>
          <w:szCs w:val="24"/>
        </w:rPr>
        <w:t>posta in questione, essendo com</w:t>
      </w:r>
      <w:r w:rsidRPr="00202D2E">
        <w:rPr>
          <w:rFonts w:ascii="Times New Roman" w:hAnsi="Times New Roman" w:cs="Times New Roman"/>
          <w:sz w:val="24"/>
          <w:szCs w:val="24"/>
        </w:rPr>
        <w:t>misurato al sol</w:t>
      </w:r>
      <w:r w:rsidR="00B77330" w:rsidRPr="00202D2E">
        <w:rPr>
          <w:rFonts w:ascii="Times New Roman" w:hAnsi="Times New Roman" w:cs="Times New Roman"/>
          <w:sz w:val="24"/>
          <w:szCs w:val="24"/>
        </w:rPr>
        <w:t>o costo dei beni strumentali am</w:t>
      </w:r>
      <w:r w:rsidRPr="00202D2E">
        <w:rPr>
          <w:rFonts w:ascii="Times New Roman" w:hAnsi="Times New Roman" w:cs="Times New Roman"/>
          <w:sz w:val="24"/>
          <w:szCs w:val="24"/>
        </w:rPr>
        <w:t>mortizzabili, costituisce un contributo in conto impianto, da contabilizzare, alternativamente, a diretta riduzione del costo ammortizzabile o con il metodo dei risconti passivi.</w:t>
      </w:r>
    </w:p>
    <w:p w:rsidR="00B77330" w:rsidRPr="00202D2E" w:rsidRDefault="00195A51" w:rsidP="00B77330">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Pur non essendo stata prevista alcuna regolamentazione al riguardo, analogamente ai si</w:t>
      </w:r>
      <w:r w:rsidR="00B77330" w:rsidRPr="00202D2E">
        <w:rPr>
          <w:rFonts w:ascii="Times New Roman" w:hAnsi="Times New Roman" w:cs="Times New Roman"/>
          <w:sz w:val="24"/>
          <w:szCs w:val="24"/>
        </w:rPr>
        <w:t>milari e precedenti crediti per gli investimenti, si ritiene che lo stesso non concorra alla formazione del reddito di impresa né alla formazione del valore della produzione rilevante ai fini dell'IRAP.</w:t>
      </w:r>
    </w:p>
    <w:p w:rsidR="00195A51" w:rsidRPr="00202D2E" w:rsidRDefault="00B77330" w:rsidP="00B77330">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Analogamente, si ritiene che tale credito non debba essere tenuto presente ai fini della determinazione del rapporto di indeducibilità degli interessi passivi e delle spese generali.</w:t>
      </w:r>
    </w:p>
    <w:p w:rsidR="00587448" w:rsidRPr="00202D2E" w:rsidRDefault="00587448" w:rsidP="00587448">
      <w:pPr>
        <w:shd w:val="clear" w:color="auto" w:fill="FFFFFF"/>
        <w:spacing w:after="0" w:line="360" w:lineRule="auto"/>
        <w:jc w:val="both"/>
        <w:rPr>
          <w:rFonts w:ascii="Times New Roman" w:hAnsi="Times New Roman" w:cs="Times New Roman"/>
          <w:b/>
          <w:sz w:val="24"/>
          <w:szCs w:val="24"/>
        </w:rPr>
      </w:pPr>
      <w:r w:rsidRPr="00202D2E">
        <w:rPr>
          <w:rFonts w:ascii="Times New Roman" w:hAnsi="Times New Roman" w:cs="Times New Roman"/>
          <w:b/>
          <w:sz w:val="24"/>
          <w:szCs w:val="24"/>
        </w:rPr>
        <w:t xml:space="preserve">Revoca del credito di imposta </w:t>
      </w:r>
    </w:p>
    <w:p w:rsidR="00587448" w:rsidRPr="00202D2E" w:rsidRDefault="00587448" w:rsidP="00587448">
      <w:pPr>
        <w:shd w:val="clear" w:color="auto" w:fill="FFFFFF"/>
        <w:spacing w:after="0" w:line="360" w:lineRule="auto"/>
        <w:jc w:val="both"/>
        <w:rPr>
          <w:rFonts w:ascii="Times New Roman" w:hAnsi="Times New Roman" w:cs="Times New Roman"/>
          <w:sz w:val="24"/>
          <w:szCs w:val="24"/>
        </w:rPr>
      </w:pPr>
      <w:r w:rsidRPr="00202D2E">
        <w:rPr>
          <w:rFonts w:ascii="Times New Roman" w:hAnsi="Times New Roman" w:cs="Times New Roman"/>
          <w:sz w:val="24"/>
          <w:szCs w:val="24"/>
        </w:rPr>
        <w:t>Qualora a seguito dei controlli si accerta l’indebita fruizione del credito d’imposta l’Agenzia delle Entrate provvede al recupero del relativo importo maggiorato di interessi e sanzioni.</w:t>
      </w:r>
    </w:p>
    <w:p w:rsidR="00195A51" w:rsidRPr="00202D2E" w:rsidRDefault="00587448" w:rsidP="00587448">
      <w:pPr>
        <w:shd w:val="clear" w:color="auto" w:fill="FFFFFF"/>
        <w:spacing w:after="0" w:line="360" w:lineRule="auto"/>
        <w:jc w:val="both"/>
        <w:rPr>
          <w:rFonts w:ascii="Times New Roman" w:hAnsi="Times New Roman" w:cs="Times New Roman"/>
          <w:sz w:val="24"/>
          <w:szCs w:val="24"/>
          <w:highlight w:val="yellow"/>
        </w:rPr>
      </w:pPr>
      <w:r w:rsidRPr="00202D2E">
        <w:rPr>
          <w:rFonts w:ascii="Times New Roman" w:hAnsi="Times New Roman" w:cs="Times New Roman"/>
          <w:sz w:val="24"/>
          <w:szCs w:val="24"/>
        </w:rPr>
        <w:t>Il credito d’imposta per gli investimenti nel Mezzogiorno è subordinato al rispetto della normativa europea sugli aiuti di Stato (Regolamento UE n. 651 del 2014) e in particolare della norma (articolo 14) che disciplina gli aiuti a finalità regionale agli investimenti.</w:t>
      </w:r>
    </w:p>
    <w:p w:rsidR="00B5710C" w:rsidRPr="00202D2E" w:rsidRDefault="00E2593F" w:rsidP="00B5710C">
      <w:pPr>
        <w:pStyle w:val="dottger1"/>
        <w:spacing w:before="0" w:beforeAutospacing="0" w:after="0" w:afterAutospacing="0" w:line="360" w:lineRule="auto"/>
        <w:ind w:left="0"/>
        <w:rPr>
          <w:b/>
        </w:rPr>
      </w:pPr>
      <w:r w:rsidRPr="00202D2E">
        <w:rPr>
          <w:b/>
          <w:color w:val="000000"/>
        </w:rPr>
        <w:t xml:space="preserve">Lecce, </w:t>
      </w:r>
      <w:r w:rsidR="00D14486" w:rsidRPr="00202D2E">
        <w:rPr>
          <w:b/>
          <w:color w:val="000000"/>
        </w:rPr>
        <w:t>16 febbr</w:t>
      </w:r>
      <w:r w:rsidR="007C5D21" w:rsidRPr="00202D2E">
        <w:rPr>
          <w:b/>
          <w:color w:val="000000"/>
        </w:rPr>
        <w:t>aio</w:t>
      </w:r>
      <w:r w:rsidR="00B5710C" w:rsidRPr="00202D2E">
        <w:rPr>
          <w:b/>
          <w:color w:val="000000"/>
        </w:rPr>
        <w:t xml:space="preserve"> </w:t>
      </w:r>
      <w:r w:rsidR="007C5D21" w:rsidRPr="00202D2E">
        <w:rPr>
          <w:b/>
          <w:color w:val="000000"/>
        </w:rPr>
        <w:t>2016</w:t>
      </w:r>
      <w:r w:rsidR="00961915" w:rsidRPr="00202D2E">
        <w:rPr>
          <w:b/>
          <w:color w:val="000000"/>
        </w:rPr>
        <w:t xml:space="preserve">   </w:t>
      </w:r>
      <w:r w:rsidR="00B5710C" w:rsidRPr="00202D2E">
        <w:rPr>
          <w:b/>
          <w:color w:val="000000"/>
        </w:rPr>
        <w:t xml:space="preserve">                                        Avv. Maurizio Villani</w:t>
      </w:r>
    </w:p>
    <w:p w:rsidR="00B5710C" w:rsidRDefault="00B5710C" w:rsidP="00B5710C">
      <w:pPr>
        <w:spacing w:after="684"/>
        <w:ind w:right="72"/>
        <w:jc w:val="both"/>
        <w:rPr>
          <w:rFonts w:ascii="Times New Roman" w:hAnsi="Times New Roman" w:cs="Times New Roman"/>
          <w:b/>
          <w:color w:val="000000"/>
          <w:sz w:val="24"/>
          <w:szCs w:val="24"/>
        </w:rPr>
      </w:pPr>
      <w:r w:rsidRPr="00202D2E">
        <w:rPr>
          <w:rFonts w:ascii="Times New Roman" w:hAnsi="Times New Roman" w:cs="Times New Roman"/>
          <w:b/>
          <w:color w:val="000000"/>
          <w:sz w:val="24"/>
          <w:szCs w:val="24"/>
        </w:rPr>
        <w:t xml:space="preserve">                                               </w:t>
      </w:r>
      <w:r w:rsidR="00961915" w:rsidRPr="00202D2E">
        <w:rPr>
          <w:rFonts w:ascii="Times New Roman" w:hAnsi="Times New Roman" w:cs="Times New Roman"/>
          <w:b/>
          <w:color w:val="000000"/>
          <w:sz w:val="24"/>
          <w:szCs w:val="24"/>
        </w:rPr>
        <w:t xml:space="preserve">                        </w:t>
      </w:r>
      <w:r w:rsidRPr="00202D2E">
        <w:rPr>
          <w:rFonts w:ascii="Times New Roman" w:hAnsi="Times New Roman" w:cs="Times New Roman"/>
          <w:b/>
          <w:color w:val="000000"/>
          <w:sz w:val="24"/>
          <w:szCs w:val="24"/>
        </w:rPr>
        <w:t xml:space="preserve">       </w:t>
      </w:r>
      <w:r w:rsidR="00B215B9">
        <w:rPr>
          <w:rFonts w:ascii="Times New Roman" w:hAnsi="Times New Roman" w:cs="Times New Roman"/>
          <w:b/>
          <w:color w:val="000000"/>
          <w:sz w:val="24"/>
          <w:szCs w:val="24"/>
        </w:rPr>
        <w:tab/>
      </w:r>
      <w:r w:rsidRPr="00202D2E">
        <w:rPr>
          <w:rFonts w:ascii="Times New Roman" w:hAnsi="Times New Roman" w:cs="Times New Roman"/>
          <w:b/>
          <w:color w:val="000000"/>
          <w:sz w:val="24"/>
          <w:szCs w:val="24"/>
        </w:rPr>
        <w:t>Avv. Iolanda Pansardi</w:t>
      </w:r>
    </w:p>
    <w:p w:rsidR="00B215B9" w:rsidRPr="00914D83" w:rsidRDefault="00B215B9" w:rsidP="00B215B9">
      <w:pPr>
        <w:pStyle w:val="Style1"/>
        <w:spacing w:line="480" w:lineRule="exact"/>
        <w:rPr>
          <w:rStyle w:val="CharacterStyle1"/>
          <w:b/>
          <w:iCs/>
          <w:spacing w:val="6"/>
          <w:sz w:val="24"/>
          <w:szCs w:val="24"/>
        </w:rPr>
      </w:pPr>
    </w:p>
    <w:p w:rsidR="00B215B9" w:rsidRPr="00782217" w:rsidRDefault="00B215B9" w:rsidP="00B215B9">
      <w:pPr>
        <w:spacing w:after="0" w:line="240" w:lineRule="auto"/>
        <w:ind w:left="-1530"/>
        <w:jc w:val="center"/>
        <w:rPr>
          <w:rFonts w:ascii="Arial" w:eastAsia="Times New Roman" w:hAnsi="Arial" w:cs="Arial"/>
          <w:b/>
          <w:bCs/>
          <w:sz w:val="24"/>
          <w:szCs w:val="24"/>
        </w:rPr>
      </w:pPr>
      <w:r w:rsidRPr="00782217">
        <w:rPr>
          <w:rFonts w:ascii="Arial" w:eastAsia="Times New Roman" w:hAnsi="Arial" w:cs="Arial"/>
          <w:b/>
          <w:bCs/>
          <w:sz w:val="24"/>
          <w:szCs w:val="24"/>
        </w:rPr>
        <w:t>AVV. MAURIZIO VILLANI</w:t>
      </w:r>
    </w:p>
    <w:p w:rsidR="00B215B9" w:rsidRPr="00782217" w:rsidRDefault="00B215B9" w:rsidP="00B215B9">
      <w:pPr>
        <w:keepNext/>
        <w:spacing w:after="0" w:line="240" w:lineRule="auto"/>
        <w:ind w:left="-1530"/>
        <w:jc w:val="center"/>
        <w:outlineLvl w:val="5"/>
        <w:rPr>
          <w:rFonts w:ascii="Arial" w:eastAsia="Times New Roman" w:hAnsi="Arial" w:cs="Arial"/>
          <w:b/>
          <w:bCs/>
          <w:sz w:val="24"/>
          <w:szCs w:val="24"/>
        </w:rPr>
      </w:pPr>
      <w:r>
        <w:rPr>
          <w:rFonts w:ascii="Arial" w:eastAsia="Times New Roman" w:hAnsi="Arial" w:cs="Arial"/>
          <w:b/>
          <w:bCs/>
          <w:sz w:val="24"/>
          <w:szCs w:val="24"/>
        </w:rPr>
        <w:t xml:space="preserve">      </w:t>
      </w:r>
      <w:r w:rsidRPr="00782217">
        <w:rPr>
          <w:rFonts w:ascii="Arial" w:eastAsia="Times New Roman" w:hAnsi="Arial" w:cs="Arial"/>
          <w:b/>
          <w:bCs/>
          <w:sz w:val="24"/>
          <w:szCs w:val="24"/>
        </w:rPr>
        <w:t>Avvocato Tributarista in Lecce</w:t>
      </w:r>
    </w:p>
    <w:p w:rsidR="00B215B9" w:rsidRPr="00782217" w:rsidRDefault="00B215B9" w:rsidP="00B215B9">
      <w:pPr>
        <w:spacing w:after="0" w:line="240" w:lineRule="auto"/>
        <w:rPr>
          <w:rFonts w:ascii="Arial" w:eastAsia="Times New Roman" w:hAnsi="Arial" w:cs="Arial"/>
          <w:b/>
          <w:sz w:val="24"/>
          <w:szCs w:val="24"/>
        </w:rPr>
      </w:pPr>
      <w:r w:rsidRPr="00782217">
        <w:rPr>
          <w:rFonts w:ascii="Arial" w:eastAsia="Times New Roman" w:hAnsi="Arial" w:cs="Arial"/>
          <w:b/>
          <w:sz w:val="24"/>
          <w:szCs w:val="24"/>
        </w:rPr>
        <w:t xml:space="preserve">                                       Patrocinante in Cassazione</w:t>
      </w:r>
    </w:p>
    <w:p w:rsidR="00B215B9" w:rsidRPr="00782217" w:rsidRDefault="00E4522C" w:rsidP="00B215B9">
      <w:pPr>
        <w:spacing w:after="0" w:line="240" w:lineRule="auto"/>
        <w:ind w:left="-1530"/>
        <w:jc w:val="center"/>
        <w:rPr>
          <w:rFonts w:ascii="Arial" w:eastAsia="Times New Roman" w:hAnsi="Arial" w:cs="Arial"/>
          <w:b/>
          <w:bCs/>
          <w:sz w:val="24"/>
          <w:szCs w:val="24"/>
        </w:rPr>
      </w:pPr>
      <w:hyperlink r:id="rId7" w:history="1">
        <w:r w:rsidR="00B215B9" w:rsidRPr="00782217">
          <w:rPr>
            <w:rFonts w:ascii="Arial" w:eastAsia="Times New Roman" w:hAnsi="Arial" w:cs="Arial"/>
            <w:b/>
            <w:bCs/>
            <w:color w:val="0000FF"/>
            <w:sz w:val="24"/>
            <w:szCs w:val="24"/>
            <w:u w:val="single"/>
          </w:rPr>
          <w:t>www.studiotributariovillani.it</w:t>
        </w:r>
      </w:hyperlink>
      <w:r w:rsidR="00B215B9" w:rsidRPr="00782217">
        <w:rPr>
          <w:rFonts w:ascii="Arial" w:eastAsia="Times New Roman" w:hAnsi="Arial" w:cs="Arial"/>
          <w:b/>
          <w:bCs/>
          <w:sz w:val="24"/>
          <w:szCs w:val="24"/>
        </w:rPr>
        <w:t xml:space="preserve"> - e-mail </w:t>
      </w:r>
      <w:hyperlink r:id="rId8" w:history="1">
        <w:r w:rsidR="00B215B9" w:rsidRPr="00782217">
          <w:rPr>
            <w:rFonts w:ascii="Arial" w:eastAsia="Times New Roman" w:hAnsi="Arial" w:cs="Arial"/>
            <w:b/>
            <w:bCs/>
            <w:color w:val="0000FF"/>
            <w:sz w:val="24"/>
            <w:szCs w:val="24"/>
            <w:u w:val="single"/>
          </w:rPr>
          <w:t>avvocato@studiotributariovillani.it</w:t>
        </w:r>
      </w:hyperlink>
    </w:p>
    <w:p w:rsidR="00B215B9" w:rsidRPr="00202D2E" w:rsidRDefault="00B215B9" w:rsidP="00B5710C">
      <w:pPr>
        <w:spacing w:after="684"/>
        <w:ind w:right="72"/>
        <w:jc w:val="both"/>
        <w:rPr>
          <w:rFonts w:ascii="Times New Roman" w:hAnsi="Times New Roman" w:cs="Times New Roman"/>
          <w:b/>
          <w:color w:val="000000"/>
          <w:sz w:val="24"/>
          <w:szCs w:val="24"/>
        </w:rPr>
      </w:pPr>
    </w:p>
    <w:p w:rsidR="00B5710C" w:rsidRPr="00202D2E" w:rsidRDefault="00B5710C" w:rsidP="00252934">
      <w:pPr>
        <w:pStyle w:val="NormaleWeb"/>
        <w:spacing w:line="360" w:lineRule="auto"/>
        <w:jc w:val="both"/>
        <w:rPr>
          <w:b/>
        </w:rPr>
      </w:pPr>
    </w:p>
    <w:p w:rsidR="0006325B" w:rsidRPr="00202D2E" w:rsidRDefault="0006325B" w:rsidP="00252934">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
    <w:p w:rsidR="00E92209" w:rsidRPr="00202D2E" w:rsidRDefault="00E92209" w:rsidP="00252934">
      <w:pPr>
        <w:spacing w:before="100" w:beforeAutospacing="1" w:after="100" w:afterAutospacing="1" w:line="360" w:lineRule="auto"/>
        <w:jc w:val="both"/>
        <w:rPr>
          <w:rFonts w:ascii="Times New Roman" w:hAnsi="Times New Roman" w:cs="Times New Roman"/>
          <w:sz w:val="24"/>
          <w:szCs w:val="24"/>
        </w:rPr>
      </w:pPr>
    </w:p>
    <w:sectPr w:rsidR="00E92209" w:rsidRPr="00202D2E" w:rsidSect="00E92209">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22C" w:rsidRDefault="00E4522C" w:rsidP="00846C70">
      <w:pPr>
        <w:spacing w:after="0" w:line="240" w:lineRule="auto"/>
      </w:pPr>
      <w:r>
        <w:separator/>
      </w:r>
    </w:p>
  </w:endnote>
  <w:endnote w:type="continuationSeparator" w:id="0">
    <w:p w:rsidR="00E4522C" w:rsidRDefault="00E4522C" w:rsidP="0084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70" w:rsidRDefault="00846C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538323"/>
      <w:docPartObj>
        <w:docPartGallery w:val="Page Numbers (Bottom of Page)"/>
        <w:docPartUnique/>
      </w:docPartObj>
    </w:sdtPr>
    <w:sdtEndPr/>
    <w:sdtContent>
      <w:p w:rsidR="00846C70" w:rsidRDefault="00846C70">
        <w:pPr>
          <w:pStyle w:val="Pidipagina"/>
          <w:jc w:val="right"/>
        </w:pPr>
        <w:r>
          <w:fldChar w:fldCharType="begin"/>
        </w:r>
        <w:r>
          <w:instrText>PAGE   \* MERGEFORMAT</w:instrText>
        </w:r>
        <w:r>
          <w:fldChar w:fldCharType="separate"/>
        </w:r>
        <w:r w:rsidR="008A55F0">
          <w:rPr>
            <w:noProof/>
          </w:rPr>
          <w:t>2</w:t>
        </w:r>
        <w:r>
          <w:fldChar w:fldCharType="end"/>
        </w:r>
      </w:p>
    </w:sdtContent>
  </w:sdt>
  <w:p w:rsidR="00846C70" w:rsidRDefault="00846C7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70" w:rsidRDefault="00846C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22C" w:rsidRDefault="00E4522C" w:rsidP="00846C70">
      <w:pPr>
        <w:spacing w:after="0" w:line="240" w:lineRule="auto"/>
      </w:pPr>
      <w:r>
        <w:separator/>
      </w:r>
    </w:p>
  </w:footnote>
  <w:footnote w:type="continuationSeparator" w:id="0">
    <w:p w:rsidR="00E4522C" w:rsidRDefault="00E4522C" w:rsidP="00846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70" w:rsidRDefault="00846C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70" w:rsidRDefault="00846C7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70" w:rsidRDefault="00846C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023D0"/>
    <w:multiLevelType w:val="multilevel"/>
    <w:tmpl w:val="327E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4F"/>
    <w:rsid w:val="00002FD6"/>
    <w:rsid w:val="00007A18"/>
    <w:rsid w:val="000205F5"/>
    <w:rsid w:val="00022A39"/>
    <w:rsid w:val="00046AC2"/>
    <w:rsid w:val="00056D42"/>
    <w:rsid w:val="0006224A"/>
    <w:rsid w:val="0006325B"/>
    <w:rsid w:val="000632C9"/>
    <w:rsid w:val="00072727"/>
    <w:rsid w:val="00077C66"/>
    <w:rsid w:val="00085A53"/>
    <w:rsid w:val="00086309"/>
    <w:rsid w:val="00086981"/>
    <w:rsid w:val="000A4252"/>
    <w:rsid w:val="000B33C8"/>
    <w:rsid w:val="000C4B88"/>
    <w:rsid w:val="000D1F49"/>
    <w:rsid w:val="000D393D"/>
    <w:rsid w:val="000D3C60"/>
    <w:rsid w:val="000E1318"/>
    <w:rsid w:val="000F456B"/>
    <w:rsid w:val="00101FA1"/>
    <w:rsid w:val="001026B3"/>
    <w:rsid w:val="0010629C"/>
    <w:rsid w:val="0011106F"/>
    <w:rsid w:val="00120F08"/>
    <w:rsid w:val="00123118"/>
    <w:rsid w:val="00130D6C"/>
    <w:rsid w:val="001417B6"/>
    <w:rsid w:val="001418CD"/>
    <w:rsid w:val="00147351"/>
    <w:rsid w:val="00147D00"/>
    <w:rsid w:val="00153D20"/>
    <w:rsid w:val="00156430"/>
    <w:rsid w:val="00167412"/>
    <w:rsid w:val="0019029A"/>
    <w:rsid w:val="00195A51"/>
    <w:rsid w:val="001B4D8F"/>
    <w:rsid w:val="001B5C77"/>
    <w:rsid w:val="001D5DD2"/>
    <w:rsid w:val="001E24CC"/>
    <w:rsid w:val="001E7946"/>
    <w:rsid w:val="00201782"/>
    <w:rsid w:val="00202D2E"/>
    <w:rsid w:val="002131E3"/>
    <w:rsid w:val="002144D1"/>
    <w:rsid w:val="00216477"/>
    <w:rsid w:val="00217A9E"/>
    <w:rsid w:val="00231CA7"/>
    <w:rsid w:val="00243A9E"/>
    <w:rsid w:val="00246126"/>
    <w:rsid w:val="00250D4A"/>
    <w:rsid w:val="00252934"/>
    <w:rsid w:val="00252ADC"/>
    <w:rsid w:val="002615FC"/>
    <w:rsid w:val="00262B78"/>
    <w:rsid w:val="00263F79"/>
    <w:rsid w:val="002660AB"/>
    <w:rsid w:val="002A1363"/>
    <w:rsid w:val="002B711B"/>
    <w:rsid w:val="002C08E4"/>
    <w:rsid w:val="002C093B"/>
    <w:rsid w:val="002C5043"/>
    <w:rsid w:val="002D431F"/>
    <w:rsid w:val="002E5785"/>
    <w:rsid w:val="0030520F"/>
    <w:rsid w:val="00310AC7"/>
    <w:rsid w:val="00311BBB"/>
    <w:rsid w:val="00314E5D"/>
    <w:rsid w:val="00323533"/>
    <w:rsid w:val="00324013"/>
    <w:rsid w:val="00327FA8"/>
    <w:rsid w:val="00332167"/>
    <w:rsid w:val="003361FD"/>
    <w:rsid w:val="00353C19"/>
    <w:rsid w:val="003574A5"/>
    <w:rsid w:val="00357F27"/>
    <w:rsid w:val="00377952"/>
    <w:rsid w:val="003A13C6"/>
    <w:rsid w:val="003A5F79"/>
    <w:rsid w:val="003C5F35"/>
    <w:rsid w:val="003D5DEE"/>
    <w:rsid w:val="003F510F"/>
    <w:rsid w:val="004050B8"/>
    <w:rsid w:val="00423F33"/>
    <w:rsid w:val="0042540C"/>
    <w:rsid w:val="00425B8F"/>
    <w:rsid w:val="0043096C"/>
    <w:rsid w:val="00435742"/>
    <w:rsid w:val="00445747"/>
    <w:rsid w:val="0045684F"/>
    <w:rsid w:val="00475935"/>
    <w:rsid w:val="00477721"/>
    <w:rsid w:val="004816FD"/>
    <w:rsid w:val="00483AC8"/>
    <w:rsid w:val="00487732"/>
    <w:rsid w:val="00490195"/>
    <w:rsid w:val="00492EEC"/>
    <w:rsid w:val="004B067B"/>
    <w:rsid w:val="004B2CB1"/>
    <w:rsid w:val="004B71D9"/>
    <w:rsid w:val="004C156A"/>
    <w:rsid w:val="004D2FFE"/>
    <w:rsid w:val="004E605A"/>
    <w:rsid w:val="004E7A36"/>
    <w:rsid w:val="004F2BE4"/>
    <w:rsid w:val="004F5E8C"/>
    <w:rsid w:val="00510970"/>
    <w:rsid w:val="005111BA"/>
    <w:rsid w:val="00515B5E"/>
    <w:rsid w:val="005178BC"/>
    <w:rsid w:val="005251EB"/>
    <w:rsid w:val="00537673"/>
    <w:rsid w:val="00552353"/>
    <w:rsid w:val="00556520"/>
    <w:rsid w:val="0056043C"/>
    <w:rsid w:val="0056177B"/>
    <w:rsid w:val="00570B19"/>
    <w:rsid w:val="00575BA8"/>
    <w:rsid w:val="00587448"/>
    <w:rsid w:val="00591DFF"/>
    <w:rsid w:val="005A1427"/>
    <w:rsid w:val="005A3BC1"/>
    <w:rsid w:val="005A3C7C"/>
    <w:rsid w:val="005A5FB8"/>
    <w:rsid w:val="005B61A7"/>
    <w:rsid w:val="005C1265"/>
    <w:rsid w:val="005C141A"/>
    <w:rsid w:val="005C4356"/>
    <w:rsid w:val="005E369E"/>
    <w:rsid w:val="005F19CB"/>
    <w:rsid w:val="005F62E1"/>
    <w:rsid w:val="00637EFA"/>
    <w:rsid w:val="006530E8"/>
    <w:rsid w:val="00683234"/>
    <w:rsid w:val="00691C37"/>
    <w:rsid w:val="00695D25"/>
    <w:rsid w:val="006A1839"/>
    <w:rsid w:val="006A2982"/>
    <w:rsid w:val="006B6905"/>
    <w:rsid w:val="006B71A0"/>
    <w:rsid w:val="006D0E82"/>
    <w:rsid w:val="006E25B9"/>
    <w:rsid w:val="006F7701"/>
    <w:rsid w:val="007011D2"/>
    <w:rsid w:val="007015AF"/>
    <w:rsid w:val="007020D4"/>
    <w:rsid w:val="00703425"/>
    <w:rsid w:val="00711015"/>
    <w:rsid w:val="00713267"/>
    <w:rsid w:val="007253B3"/>
    <w:rsid w:val="007322CE"/>
    <w:rsid w:val="00742099"/>
    <w:rsid w:val="0076609E"/>
    <w:rsid w:val="00767BCB"/>
    <w:rsid w:val="00787820"/>
    <w:rsid w:val="00791AA6"/>
    <w:rsid w:val="007A5954"/>
    <w:rsid w:val="007B6812"/>
    <w:rsid w:val="007C5D21"/>
    <w:rsid w:val="007D2AED"/>
    <w:rsid w:val="007F0DEE"/>
    <w:rsid w:val="007F5D89"/>
    <w:rsid w:val="00806DBD"/>
    <w:rsid w:val="008130CC"/>
    <w:rsid w:val="0081668F"/>
    <w:rsid w:val="00822976"/>
    <w:rsid w:val="00825486"/>
    <w:rsid w:val="00846C70"/>
    <w:rsid w:val="00852809"/>
    <w:rsid w:val="0085650C"/>
    <w:rsid w:val="00876210"/>
    <w:rsid w:val="00884A16"/>
    <w:rsid w:val="0088679F"/>
    <w:rsid w:val="00886949"/>
    <w:rsid w:val="00892D8C"/>
    <w:rsid w:val="00897AA6"/>
    <w:rsid w:val="008A40E2"/>
    <w:rsid w:val="008A55F0"/>
    <w:rsid w:val="008B1A3B"/>
    <w:rsid w:val="008C31D2"/>
    <w:rsid w:val="008C3424"/>
    <w:rsid w:val="008C6973"/>
    <w:rsid w:val="008D0A13"/>
    <w:rsid w:val="008D756E"/>
    <w:rsid w:val="008F3727"/>
    <w:rsid w:val="00900707"/>
    <w:rsid w:val="009036E9"/>
    <w:rsid w:val="00923FD7"/>
    <w:rsid w:val="0093021F"/>
    <w:rsid w:val="0094435A"/>
    <w:rsid w:val="00951001"/>
    <w:rsid w:val="0095497E"/>
    <w:rsid w:val="009555DD"/>
    <w:rsid w:val="009576AB"/>
    <w:rsid w:val="00961915"/>
    <w:rsid w:val="00964A47"/>
    <w:rsid w:val="009728E3"/>
    <w:rsid w:val="00982D1B"/>
    <w:rsid w:val="0099387E"/>
    <w:rsid w:val="009A535D"/>
    <w:rsid w:val="009B0EB1"/>
    <w:rsid w:val="009C7F8E"/>
    <w:rsid w:val="009E5D57"/>
    <w:rsid w:val="00A14001"/>
    <w:rsid w:val="00A24557"/>
    <w:rsid w:val="00A2576B"/>
    <w:rsid w:val="00A36B66"/>
    <w:rsid w:val="00A53C0B"/>
    <w:rsid w:val="00A60ED1"/>
    <w:rsid w:val="00A61BF3"/>
    <w:rsid w:val="00A76CFA"/>
    <w:rsid w:val="00A83018"/>
    <w:rsid w:val="00A86FFB"/>
    <w:rsid w:val="00AA4915"/>
    <w:rsid w:val="00AA4B19"/>
    <w:rsid w:val="00AA6E11"/>
    <w:rsid w:val="00AB0992"/>
    <w:rsid w:val="00AB31A3"/>
    <w:rsid w:val="00AE1472"/>
    <w:rsid w:val="00AE37B6"/>
    <w:rsid w:val="00B172CF"/>
    <w:rsid w:val="00B215B9"/>
    <w:rsid w:val="00B224EF"/>
    <w:rsid w:val="00B5710C"/>
    <w:rsid w:val="00B6007F"/>
    <w:rsid w:val="00B675C0"/>
    <w:rsid w:val="00B7294E"/>
    <w:rsid w:val="00B77330"/>
    <w:rsid w:val="00B8550E"/>
    <w:rsid w:val="00B902C5"/>
    <w:rsid w:val="00BA2788"/>
    <w:rsid w:val="00BA7171"/>
    <w:rsid w:val="00BB14EC"/>
    <w:rsid w:val="00BB382E"/>
    <w:rsid w:val="00BB7771"/>
    <w:rsid w:val="00BD0FB9"/>
    <w:rsid w:val="00BE337F"/>
    <w:rsid w:val="00BF16D1"/>
    <w:rsid w:val="00BF6D25"/>
    <w:rsid w:val="00C204FC"/>
    <w:rsid w:val="00C455DA"/>
    <w:rsid w:val="00C53F95"/>
    <w:rsid w:val="00C54586"/>
    <w:rsid w:val="00C556C2"/>
    <w:rsid w:val="00C56A67"/>
    <w:rsid w:val="00C62F77"/>
    <w:rsid w:val="00C65B83"/>
    <w:rsid w:val="00C72836"/>
    <w:rsid w:val="00C775BE"/>
    <w:rsid w:val="00C87C20"/>
    <w:rsid w:val="00CA1E90"/>
    <w:rsid w:val="00CC2350"/>
    <w:rsid w:val="00CD6FC0"/>
    <w:rsid w:val="00CE01AD"/>
    <w:rsid w:val="00CF730A"/>
    <w:rsid w:val="00D14486"/>
    <w:rsid w:val="00D44B0C"/>
    <w:rsid w:val="00D60C63"/>
    <w:rsid w:val="00D62D77"/>
    <w:rsid w:val="00D6385D"/>
    <w:rsid w:val="00D7496B"/>
    <w:rsid w:val="00D86C34"/>
    <w:rsid w:val="00D94314"/>
    <w:rsid w:val="00DB164E"/>
    <w:rsid w:val="00DC19D2"/>
    <w:rsid w:val="00DE316B"/>
    <w:rsid w:val="00DF6894"/>
    <w:rsid w:val="00E002E9"/>
    <w:rsid w:val="00E04BE2"/>
    <w:rsid w:val="00E201BD"/>
    <w:rsid w:val="00E23346"/>
    <w:rsid w:val="00E2593F"/>
    <w:rsid w:val="00E26502"/>
    <w:rsid w:val="00E36E91"/>
    <w:rsid w:val="00E42977"/>
    <w:rsid w:val="00E4522C"/>
    <w:rsid w:val="00E570DD"/>
    <w:rsid w:val="00E71415"/>
    <w:rsid w:val="00E77826"/>
    <w:rsid w:val="00E878CF"/>
    <w:rsid w:val="00E92209"/>
    <w:rsid w:val="00EA07CA"/>
    <w:rsid w:val="00EA472F"/>
    <w:rsid w:val="00EC0950"/>
    <w:rsid w:val="00EC24B1"/>
    <w:rsid w:val="00EE2052"/>
    <w:rsid w:val="00EE20AE"/>
    <w:rsid w:val="00EF64BE"/>
    <w:rsid w:val="00F1084C"/>
    <w:rsid w:val="00F163CF"/>
    <w:rsid w:val="00F20C58"/>
    <w:rsid w:val="00F30436"/>
    <w:rsid w:val="00F47DF9"/>
    <w:rsid w:val="00F51C77"/>
    <w:rsid w:val="00F765B5"/>
    <w:rsid w:val="00F85FF1"/>
    <w:rsid w:val="00F9589D"/>
    <w:rsid w:val="00F96B37"/>
    <w:rsid w:val="00FA3EF9"/>
    <w:rsid w:val="00FA75C7"/>
    <w:rsid w:val="00FB5B42"/>
    <w:rsid w:val="00FB7EA1"/>
    <w:rsid w:val="00FC2178"/>
    <w:rsid w:val="00FD5941"/>
    <w:rsid w:val="00FE27C2"/>
    <w:rsid w:val="00FE5E07"/>
    <w:rsid w:val="00FE645D"/>
    <w:rsid w:val="00FF0154"/>
    <w:rsid w:val="00FF2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EA797-EC87-4022-AE48-4CA6A2C9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A07CA"/>
    <w:pPr>
      <w:spacing w:before="100" w:beforeAutospacing="1" w:after="100" w:afterAutospacing="1" w:line="240" w:lineRule="auto"/>
      <w:outlineLvl w:val="0"/>
    </w:pPr>
    <w:rPr>
      <w:rFonts w:ascii="Times New Roman" w:eastAsia="Times New Roman" w:hAnsi="Times New Roman" w:cs="Times New Roman"/>
      <w:b/>
      <w:bCs/>
      <w:color w:val="990033"/>
      <w:kern w:val="36"/>
      <w:sz w:val="36"/>
      <w:szCs w:val="36"/>
    </w:rPr>
  </w:style>
  <w:style w:type="paragraph" w:styleId="Titolo2">
    <w:name w:val="heading 2"/>
    <w:basedOn w:val="Normale"/>
    <w:next w:val="Normale"/>
    <w:link w:val="Titolo2Carattere"/>
    <w:uiPriority w:val="9"/>
    <w:semiHidden/>
    <w:unhideWhenUsed/>
    <w:qFormat/>
    <w:rsid w:val="005E36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56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21">
    <w:name w:val="t21"/>
    <w:basedOn w:val="Carpredefinitoparagrafo"/>
    <w:rsid w:val="00AA4B19"/>
    <w:rPr>
      <w:rFonts w:ascii="Arial" w:hAnsi="Arial" w:cs="Arial" w:hint="default"/>
      <w:b w:val="0"/>
      <w:bCs w:val="0"/>
      <w:i w:val="0"/>
      <w:iCs w:val="0"/>
      <w:strike w:val="0"/>
      <w:dstrike w:val="0"/>
      <w:color w:val="000000"/>
      <w:sz w:val="20"/>
      <w:szCs w:val="20"/>
      <w:u w:val="none"/>
      <w:effect w:val="none"/>
    </w:rPr>
  </w:style>
  <w:style w:type="character" w:customStyle="1" w:styleId="Titolo1Carattere">
    <w:name w:val="Titolo 1 Carattere"/>
    <w:basedOn w:val="Carpredefinitoparagrafo"/>
    <w:link w:val="Titolo1"/>
    <w:uiPriority w:val="9"/>
    <w:rsid w:val="00EA07CA"/>
    <w:rPr>
      <w:rFonts w:ascii="Times New Roman" w:eastAsia="Times New Roman" w:hAnsi="Times New Roman" w:cs="Times New Roman"/>
      <w:b/>
      <w:bCs/>
      <w:color w:val="990033"/>
      <w:kern w:val="36"/>
      <w:sz w:val="36"/>
      <w:szCs w:val="36"/>
      <w:lang w:eastAsia="it-IT"/>
    </w:rPr>
  </w:style>
  <w:style w:type="character" w:styleId="Enfasigrassetto">
    <w:name w:val="Strong"/>
    <w:basedOn w:val="Carpredefinitoparagrafo"/>
    <w:uiPriority w:val="22"/>
    <w:qFormat/>
    <w:rsid w:val="00243A9E"/>
    <w:rPr>
      <w:b/>
      <w:bCs/>
    </w:rPr>
  </w:style>
  <w:style w:type="character" w:customStyle="1" w:styleId="Titolo2Carattere">
    <w:name w:val="Titolo 2 Carattere"/>
    <w:basedOn w:val="Carpredefinitoparagrafo"/>
    <w:link w:val="Titolo2"/>
    <w:uiPriority w:val="9"/>
    <w:semiHidden/>
    <w:rsid w:val="005E369E"/>
    <w:rPr>
      <w:rFonts w:asciiTheme="majorHAnsi" w:eastAsiaTheme="majorEastAsia" w:hAnsiTheme="majorHAnsi" w:cstheme="majorBidi"/>
      <w:b/>
      <w:bCs/>
      <w:color w:val="4F81BD" w:themeColor="accent1"/>
      <w:sz w:val="26"/>
      <w:szCs w:val="26"/>
    </w:rPr>
  </w:style>
  <w:style w:type="paragraph" w:customStyle="1" w:styleId="dottger1">
    <w:name w:val="dottge_r1"/>
    <w:basedOn w:val="Normale"/>
    <w:rsid w:val="00B5710C"/>
    <w:pPr>
      <w:spacing w:before="100" w:beforeAutospacing="1" w:after="100" w:afterAutospacing="1" w:line="240" w:lineRule="auto"/>
      <w:ind w:left="100" w:right="100"/>
      <w:jc w:val="both"/>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846C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6C70"/>
  </w:style>
  <w:style w:type="paragraph" w:styleId="Pidipagina">
    <w:name w:val="footer"/>
    <w:basedOn w:val="Normale"/>
    <w:link w:val="PidipaginaCarattere"/>
    <w:uiPriority w:val="99"/>
    <w:unhideWhenUsed/>
    <w:rsid w:val="00846C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6C70"/>
  </w:style>
  <w:style w:type="paragraph" w:customStyle="1" w:styleId="Style1">
    <w:name w:val="Style 1"/>
    <w:basedOn w:val="Normale"/>
    <w:uiPriority w:val="99"/>
    <w:rsid w:val="00B215B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B215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6193">
      <w:bodyDiv w:val="1"/>
      <w:marLeft w:val="0"/>
      <w:marRight w:val="0"/>
      <w:marTop w:val="100"/>
      <w:marBottom w:val="100"/>
      <w:divBdr>
        <w:top w:val="none" w:sz="0" w:space="0" w:color="auto"/>
        <w:left w:val="none" w:sz="0" w:space="0" w:color="auto"/>
        <w:bottom w:val="none" w:sz="0" w:space="0" w:color="auto"/>
        <w:right w:val="none" w:sz="0" w:space="0" w:color="auto"/>
      </w:divBdr>
      <w:divsChild>
        <w:div w:id="1922911844">
          <w:marLeft w:val="0"/>
          <w:marRight w:val="0"/>
          <w:marTop w:val="0"/>
          <w:marBottom w:val="0"/>
          <w:divBdr>
            <w:top w:val="none" w:sz="0" w:space="0" w:color="auto"/>
            <w:left w:val="none" w:sz="0" w:space="0" w:color="auto"/>
            <w:bottom w:val="none" w:sz="0" w:space="0" w:color="auto"/>
            <w:right w:val="none" w:sz="0" w:space="0" w:color="auto"/>
          </w:divBdr>
          <w:divsChild>
            <w:div w:id="1709649623">
              <w:marLeft w:val="0"/>
              <w:marRight w:val="0"/>
              <w:marTop w:val="0"/>
              <w:marBottom w:val="0"/>
              <w:divBdr>
                <w:top w:val="none" w:sz="0" w:space="0" w:color="auto"/>
                <w:left w:val="none" w:sz="0" w:space="0" w:color="auto"/>
                <w:bottom w:val="none" w:sz="0" w:space="0" w:color="auto"/>
                <w:right w:val="none" w:sz="0" w:space="0" w:color="auto"/>
              </w:divBdr>
              <w:divsChild>
                <w:div w:id="391464150">
                  <w:marLeft w:val="0"/>
                  <w:marRight w:val="0"/>
                  <w:marTop w:val="0"/>
                  <w:marBottom w:val="0"/>
                  <w:divBdr>
                    <w:top w:val="none" w:sz="0" w:space="0" w:color="auto"/>
                    <w:left w:val="none" w:sz="0" w:space="0" w:color="auto"/>
                    <w:bottom w:val="none" w:sz="0" w:space="0" w:color="auto"/>
                    <w:right w:val="none" w:sz="0" w:space="0" w:color="auto"/>
                  </w:divBdr>
                  <w:divsChild>
                    <w:div w:id="310058347">
                      <w:marLeft w:val="0"/>
                      <w:marRight w:val="0"/>
                      <w:marTop w:val="0"/>
                      <w:marBottom w:val="0"/>
                      <w:divBdr>
                        <w:top w:val="single" w:sz="6" w:space="11" w:color="DDDDDD"/>
                        <w:left w:val="none" w:sz="0" w:space="0" w:color="auto"/>
                        <w:bottom w:val="none" w:sz="0" w:space="0" w:color="auto"/>
                        <w:right w:val="none" w:sz="0" w:space="0" w:color="auto"/>
                      </w:divBdr>
                      <w:divsChild>
                        <w:div w:id="319121479">
                          <w:marLeft w:val="0"/>
                          <w:marRight w:val="0"/>
                          <w:marTop w:val="0"/>
                          <w:marBottom w:val="0"/>
                          <w:divBdr>
                            <w:top w:val="none" w:sz="0" w:space="0" w:color="auto"/>
                            <w:left w:val="none" w:sz="0" w:space="0" w:color="auto"/>
                            <w:bottom w:val="none" w:sz="0" w:space="0" w:color="auto"/>
                            <w:right w:val="none" w:sz="0" w:space="0" w:color="auto"/>
                          </w:divBdr>
                          <w:divsChild>
                            <w:div w:id="1839538826">
                              <w:marLeft w:val="0"/>
                              <w:marRight w:val="0"/>
                              <w:marTop w:val="0"/>
                              <w:marBottom w:val="0"/>
                              <w:divBdr>
                                <w:top w:val="none" w:sz="0" w:space="0" w:color="auto"/>
                                <w:left w:val="none" w:sz="0" w:space="0" w:color="auto"/>
                                <w:bottom w:val="none" w:sz="0" w:space="0" w:color="auto"/>
                                <w:right w:val="none" w:sz="0" w:space="0" w:color="auto"/>
                              </w:divBdr>
                              <w:divsChild>
                                <w:div w:id="295574589">
                                  <w:marLeft w:val="0"/>
                                  <w:marRight w:val="0"/>
                                  <w:marTop w:val="0"/>
                                  <w:marBottom w:val="0"/>
                                  <w:divBdr>
                                    <w:top w:val="none" w:sz="0" w:space="0" w:color="auto"/>
                                    <w:left w:val="none" w:sz="0" w:space="0" w:color="auto"/>
                                    <w:bottom w:val="none" w:sz="0" w:space="0" w:color="auto"/>
                                    <w:right w:val="none" w:sz="0" w:space="0" w:color="auto"/>
                                  </w:divBdr>
                                  <w:divsChild>
                                    <w:div w:id="1770930090">
                                      <w:marLeft w:val="0"/>
                                      <w:marRight w:val="0"/>
                                      <w:marTop w:val="0"/>
                                      <w:marBottom w:val="0"/>
                                      <w:divBdr>
                                        <w:top w:val="none" w:sz="0" w:space="0" w:color="auto"/>
                                        <w:left w:val="none" w:sz="0" w:space="0" w:color="auto"/>
                                        <w:bottom w:val="none" w:sz="0" w:space="0" w:color="auto"/>
                                        <w:right w:val="none" w:sz="0" w:space="0" w:color="auto"/>
                                      </w:divBdr>
                                    </w:div>
                                    <w:div w:id="138085041">
                                      <w:marLeft w:val="0"/>
                                      <w:marRight w:val="0"/>
                                      <w:marTop w:val="0"/>
                                      <w:marBottom w:val="0"/>
                                      <w:divBdr>
                                        <w:top w:val="none" w:sz="0" w:space="0" w:color="auto"/>
                                        <w:left w:val="none" w:sz="0" w:space="0" w:color="auto"/>
                                        <w:bottom w:val="none" w:sz="0" w:space="0" w:color="auto"/>
                                        <w:right w:val="none" w:sz="0" w:space="0" w:color="auto"/>
                                      </w:divBdr>
                                    </w:div>
                                    <w:div w:id="1513060741">
                                      <w:marLeft w:val="0"/>
                                      <w:marRight w:val="0"/>
                                      <w:marTop w:val="0"/>
                                      <w:marBottom w:val="0"/>
                                      <w:divBdr>
                                        <w:top w:val="none" w:sz="0" w:space="0" w:color="auto"/>
                                        <w:left w:val="none" w:sz="0" w:space="0" w:color="auto"/>
                                        <w:bottom w:val="none" w:sz="0" w:space="0" w:color="auto"/>
                                        <w:right w:val="none" w:sz="0" w:space="0" w:color="auto"/>
                                      </w:divBdr>
                                    </w:div>
                                    <w:div w:id="90395737">
                                      <w:marLeft w:val="0"/>
                                      <w:marRight w:val="0"/>
                                      <w:marTop w:val="0"/>
                                      <w:marBottom w:val="0"/>
                                      <w:divBdr>
                                        <w:top w:val="none" w:sz="0" w:space="0" w:color="auto"/>
                                        <w:left w:val="none" w:sz="0" w:space="0" w:color="auto"/>
                                        <w:bottom w:val="none" w:sz="0" w:space="0" w:color="auto"/>
                                        <w:right w:val="none" w:sz="0" w:space="0" w:color="auto"/>
                                      </w:divBdr>
                                    </w:div>
                                    <w:div w:id="1754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758903">
      <w:bodyDiv w:val="1"/>
      <w:marLeft w:val="0"/>
      <w:marRight w:val="0"/>
      <w:marTop w:val="150"/>
      <w:marBottom w:val="0"/>
      <w:divBdr>
        <w:top w:val="none" w:sz="0" w:space="0" w:color="auto"/>
        <w:left w:val="none" w:sz="0" w:space="0" w:color="auto"/>
        <w:bottom w:val="none" w:sz="0" w:space="0" w:color="auto"/>
        <w:right w:val="none" w:sz="0" w:space="0" w:color="auto"/>
      </w:divBdr>
      <w:divsChild>
        <w:div w:id="372266257">
          <w:marLeft w:val="0"/>
          <w:marRight w:val="0"/>
          <w:marTop w:val="0"/>
          <w:marBottom w:val="0"/>
          <w:divBdr>
            <w:top w:val="none" w:sz="0" w:space="0" w:color="auto"/>
            <w:left w:val="none" w:sz="0" w:space="0" w:color="auto"/>
            <w:bottom w:val="none" w:sz="0" w:space="0" w:color="auto"/>
            <w:right w:val="none" w:sz="0" w:space="0" w:color="auto"/>
          </w:divBdr>
          <w:divsChild>
            <w:div w:id="1122307030">
              <w:marLeft w:val="0"/>
              <w:marRight w:val="0"/>
              <w:marTop w:val="0"/>
              <w:marBottom w:val="0"/>
              <w:divBdr>
                <w:top w:val="none" w:sz="0" w:space="0" w:color="auto"/>
                <w:left w:val="none" w:sz="0" w:space="0" w:color="auto"/>
                <w:bottom w:val="none" w:sz="0" w:space="0" w:color="auto"/>
                <w:right w:val="none" w:sz="0" w:space="0" w:color="auto"/>
              </w:divBdr>
              <w:divsChild>
                <w:div w:id="1828782342">
                  <w:marLeft w:val="0"/>
                  <w:marRight w:val="0"/>
                  <w:marTop w:val="0"/>
                  <w:marBottom w:val="0"/>
                  <w:divBdr>
                    <w:top w:val="none" w:sz="0" w:space="0" w:color="auto"/>
                    <w:left w:val="none" w:sz="0" w:space="0" w:color="auto"/>
                    <w:bottom w:val="none" w:sz="0" w:space="0" w:color="auto"/>
                    <w:right w:val="none" w:sz="0" w:space="0" w:color="auto"/>
                  </w:divBdr>
                  <w:divsChild>
                    <w:div w:id="1191145557">
                      <w:marLeft w:val="0"/>
                      <w:marRight w:val="0"/>
                      <w:marTop w:val="0"/>
                      <w:marBottom w:val="0"/>
                      <w:divBdr>
                        <w:top w:val="none" w:sz="0" w:space="0" w:color="auto"/>
                        <w:left w:val="none" w:sz="0" w:space="0" w:color="auto"/>
                        <w:bottom w:val="none" w:sz="0" w:space="0" w:color="auto"/>
                        <w:right w:val="none" w:sz="0" w:space="0" w:color="auto"/>
                      </w:divBdr>
                    </w:div>
                    <w:div w:id="79255818">
                      <w:marLeft w:val="0"/>
                      <w:marRight w:val="0"/>
                      <w:marTop w:val="0"/>
                      <w:marBottom w:val="0"/>
                      <w:divBdr>
                        <w:top w:val="none" w:sz="0" w:space="0" w:color="auto"/>
                        <w:left w:val="none" w:sz="0" w:space="0" w:color="auto"/>
                        <w:bottom w:val="none" w:sz="0" w:space="0" w:color="auto"/>
                        <w:right w:val="none" w:sz="0" w:space="0" w:color="auto"/>
                      </w:divBdr>
                    </w:div>
                    <w:div w:id="18901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4679">
      <w:bodyDiv w:val="1"/>
      <w:marLeft w:val="0"/>
      <w:marRight w:val="0"/>
      <w:marTop w:val="150"/>
      <w:marBottom w:val="0"/>
      <w:divBdr>
        <w:top w:val="none" w:sz="0" w:space="0" w:color="auto"/>
        <w:left w:val="none" w:sz="0" w:space="0" w:color="auto"/>
        <w:bottom w:val="none" w:sz="0" w:space="0" w:color="auto"/>
        <w:right w:val="none" w:sz="0" w:space="0" w:color="auto"/>
      </w:divBdr>
      <w:divsChild>
        <w:div w:id="1615095365">
          <w:marLeft w:val="0"/>
          <w:marRight w:val="0"/>
          <w:marTop w:val="0"/>
          <w:marBottom w:val="0"/>
          <w:divBdr>
            <w:top w:val="none" w:sz="0" w:space="0" w:color="auto"/>
            <w:left w:val="none" w:sz="0" w:space="0" w:color="auto"/>
            <w:bottom w:val="none" w:sz="0" w:space="0" w:color="auto"/>
            <w:right w:val="none" w:sz="0" w:space="0" w:color="auto"/>
          </w:divBdr>
          <w:divsChild>
            <w:div w:id="1658075996">
              <w:marLeft w:val="0"/>
              <w:marRight w:val="0"/>
              <w:marTop w:val="0"/>
              <w:marBottom w:val="0"/>
              <w:divBdr>
                <w:top w:val="none" w:sz="0" w:space="0" w:color="auto"/>
                <w:left w:val="none" w:sz="0" w:space="0" w:color="auto"/>
                <w:bottom w:val="none" w:sz="0" w:space="0" w:color="auto"/>
                <w:right w:val="none" w:sz="0" w:space="0" w:color="auto"/>
              </w:divBdr>
              <w:divsChild>
                <w:div w:id="1450509245">
                  <w:marLeft w:val="0"/>
                  <w:marRight w:val="0"/>
                  <w:marTop w:val="0"/>
                  <w:marBottom w:val="0"/>
                  <w:divBdr>
                    <w:top w:val="none" w:sz="0" w:space="0" w:color="auto"/>
                    <w:left w:val="none" w:sz="0" w:space="0" w:color="auto"/>
                    <w:bottom w:val="none" w:sz="0" w:space="0" w:color="auto"/>
                    <w:right w:val="none" w:sz="0" w:space="0" w:color="auto"/>
                  </w:divBdr>
                  <w:divsChild>
                    <w:div w:id="1931618940">
                      <w:marLeft w:val="0"/>
                      <w:marRight w:val="0"/>
                      <w:marTop w:val="0"/>
                      <w:marBottom w:val="0"/>
                      <w:divBdr>
                        <w:top w:val="none" w:sz="0" w:space="0" w:color="auto"/>
                        <w:left w:val="none" w:sz="0" w:space="0" w:color="auto"/>
                        <w:bottom w:val="none" w:sz="0" w:space="0" w:color="auto"/>
                        <w:right w:val="none" w:sz="0" w:space="0" w:color="auto"/>
                      </w:divBdr>
                    </w:div>
                    <w:div w:id="1852597946">
                      <w:marLeft w:val="0"/>
                      <w:marRight w:val="0"/>
                      <w:marTop w:val="0"/>
                      <w:marBottom w:val="0"/>
                      <w:divBdr>
                        <w:top w:val="none" w:sz="0" w:space="0" w:color="auto"/>
                        <w:left w:val="none" w:sz="0" w:space="0" w:color="auto"/>
                        <w:bottom w:val="none" w:sz="0" w:space="0" w:color="auto"/>
                        <w:right w:val="none" w:sz="0" w:space="0" w:color="auto"/>
                      </w:divBdr>
                    </w:div>
                    <w:div w:id="173540764">
                      <w:marLeft w:val="0"/>
                      <w:marRight w:val="0"/>
                      <w:marTop w:val="0"/>
                      <w:marBottom w:val="0"/>
                      <w:divBdr>
                        <w:top w:val="none" w:sz="0" w:space="0" w:color="auto"/>
                        <w:left w:val="none" w:sz="0" w:space="0" w:color="auto"/>
                        <w:bottom w:val="none" w:sz="0" w:space="0" w:color="auto"/>
                        <w:right w:val="none" w:sz="0" w:space="0" w:color="auto"/>
                      </w:divBdr>
                    </w:div>
                    <w:div w:id="1185899509">
                      <w:marLeft w:val="0"/>
                      <w:marRight w:val="0"/>
                      <w:marTop w:val="0"/>
                      <w:marBottom w:val="0"/>
                      <w:divBdr>
                        <w:top w:val="none" w:sz="0" w:space="0" w:color="auto"/>
                        <w:left w:val="none" w:sz="0" w:space="0" w:color="auto"/>
                        <w:bottom w:val="none" w:sz="0" w:space="0" w:color="auto"/>
                        <w:right w:val="none" w:sz="0" w:space="0" w:color="auto"/>
                      </w:divBdr>
                    </w:div>
                    <w:div w:id="1709526539">
                      <w:marLeft w:val="0"/>
                      <w:marRight w:val="0"/>
                      <w:marTop w:val="0"/>
                      <w:marBottom w:val="0"/>
                      <w:divBdr>
                        <w:top w:val="none" w:sz="0" w:space="0" w:color="auto"/>
                        <w:left w:val="none" w:sz="0" w:space="0" w:color="auto"/>
                        <w:bottom w:val="none" w:sz="0" w:space="0" w:color="auto"/>
                        <w:right w:val="none" w:sz="0" w:space="0" w:color="auto"/>
                      </w:divBdr>
                    </w:div>
                    <w:div w:id="640113670">
                      <w:marLeft w:val="0"/>
                      <w:marRight w:val="0"/>
                      <w:marTop w:val="0"/>
                      <w:marBottom w:val="0"/>
                      <w:divBdr>
                        <w:top w:val="none" w:sz="0" w:space="0" w:color="auto"/>
                        <w:left w:val="none" w:sz="0" w:space="0" w:color="auto"/>
                        <w:bottom w:val="none" w:sz="0" w:space="0" w:color="auto"/>
                        <w:right w:val="none" w:sz="0" w:space="0" w:color="auto"/>
                      </w:divBdr>
                    </w:div>
                    <w:div w:id="1660696734">
                      <w:marLeft w:val="0"/>
                      <w:marRight w:val="0"/>
                      <w:marTop w:val="0"/>
                      <w:marBottom w:val="0"/>
                      <w:divBdr>
                        <w:top w:val="none" w:sz="0" w:space="0" w:color="auto"/>
                        <w:left w:val="none" w:sz="0" w:space="0" w:color="auto"/>
                        <w:bottom w:val="none" w:sz="0" w:space="0" w:color="auto"/>
                        <w:right w:val="none" w:sz="0" w:space="0" w:color="auto"/>
                      </w:divBdr>
                    </w:div>
                    <w:div w:id="234433896">
                      <w:marLeft w:val="0"/>
                      <w:marRight w:val="0"/>
                      <w:marTop w:val="0"/>
                      <w:marBottom w:val="0"/>
                      <w:divBdr>
                        <w:top w:val="none" w:sz="0" w:space="0" w:color="auto"/>
                        <w:left w:val="none" w:sz="0" w:space="0" w:color="auto"/>
                        <w:bottom w:val="none" w:sz="0" w:space="0" w:color="auto"/>
                        <w:right w:val="none" w:sz="0" w:space="0" w:color="auto"/>
                      </w:divBdr>
                    </w:div>
                    <w:div w:id="1939368285">
                      <w:marLeft w:val="0"/>
                      <w:marRight w:val="0"/>
                      <w:marTop w:val="0"/>
                      <w:marBottom w:val="0"/>
                      <w:divBdr>
                        <w:top w:val="none" w:sz="0" w:space="0" w:color="auto"/>
                        <w:left w:val="none" w:sz="0" w:space="0" w:color="auto"/>
                        <w:bottom w:val="none" w:sz="0" w:space="0" w:color="auto"/>
                        <w:right w:val="none" w:sz="0" w:space="0" w:color="auto"/>
                      </w:divBdr>
                    </w:div>
                    <w:div w:id="1330593605">
                      <w:marLeft w:val="0"/>
                      <w:marRight w:val="0"/>
                      <w:marTop w:val="0"/>
                      <w:marBottom w:val="0"/>
                      <w:divBdr>
                        <w:top w:val="none" w:sz="0" w:space="0" w:color="auto"/>
                        <w:left w:val="none" w:sz="0" w:space="0" w:color="auto"/>
                        <w:bottom w:val="none" w:sz="0" w:space="0" w:color="auto"/>
                        <w:right w:val="none" w:sz="0" w:space="0" w:color="auto"/>
                      </w:divBdr>
                    </w:div>
                    <w:div w:id="1154831573">
                      <w:marLeft w:val="0"/>
                      <w:marRight w:val="0"/>
                      <w:marTop w:val="0"/>
                      <w:marBottom w:val="0"/>
                      <w:divBdr>
                        <w:top w:val="none" w:sz="0" w:space="0" w:color="auto"/>
                        <w:left w:val="none" w:sz="0" w:space="0" w:color="auto"/>
                        <w:bottom w:val="none" w:sz="0" w:space="0" w:color="auto"/>
                        <w:right w:val="none" w:sz="0" w:space="0" w:color="auto"/>
                      </w:divBdr>
                    </w:div>
                    <w:div w:id="399835977">
                      <w:marLeft w:val="0"/>
                      <w:marRight w:val="0"/>
                      <w:marTop w:val="0"/>
                      <w:marBottom w:val="0"/>
                      <w:divBdr>
                        <w:top w:val="none" w:sz="0" w:space="0" w:color="auto"/>
                        <w:left w:val="none" w:sz="0" w:space="0" w:color="auto"/>
                        <w:bottom w:val="none" w:sz="0" w:space="0" w:color="auto"/>
                        <w:right w:val="none" w:sz="0" w:space="0" w:color="auto"/>
                      </w:divBdr>
                    </w:div>
                    <w:div w:id="65033072">
                      <w:marLeft w:val="0"/>
                      <w:marRight w:val="0"/>
                      <w:marTop w:val="0"/>
                      <w:marBottom w:val="0"/>
                      <w:divBdr>
                        <w:top w:val="none" w:sz="0" w:space="0" w:color="auto"/>
                        <w:left w:val="none" w:sz="0" w:space="0" w:color="auto"/>
                        <w:bottom w:val="none" w:sz="0" w:space="0" w:color="auto"/>
                        <w:right w:val="none" w:sz="0" w:space="0" w:color="auto"/>
                      </w:divBdr>
                    </w:div>
                    <w:div w:id="510754049">
                      <w:marLeft w:val="0"/>
                      <w:marRight w:val="0"/>
                      <w:marTop w:val="0"/>
                      <w:marBottom w:val="0"/>
                      <w:divBdr>
                        <w:top w:val="none" w:sz="0" w:space="0" w:color="auto"/>
                        <w:left w:val="none" w:sz="0" w:space="0" w:color="auto"/>
                        <w:bottom w:val="none" w:sz="0" w:space="0" w:color="auto"/>
                        <w:right w:val="none" w:sz="0" w:space="0" w:color="auto"/>
                      </w:divBdr>
                    </w:div>
                    <w:div w:id="1276251029">
                      <w:marLeft w:val="0"/>
                      <w:marRight w:val="0"/>
                      <w:marTop w:val="0"/>
                      <w:marBottom w:val="0"/>
                      <w:divBdr>
                        <w:top w:val="none" w:sz="0" w:space="0" w:color="auto"/>
                        <w:left w:val="none" w:sz="0" w:space="0" w:color="auto"/>
                        <w:bottom w:val="none" w:sz="0" w:space="0" w:color="auto"/>
                        <w:right w:val="none" w:sz="0" w:space="0" w:color="auto"/>
                      </w:divBdr>
                    </w:div>
                    <w:div w:id="1387022308">
                      <w:marLeft w:val="0"/>
                      <w:marRight w:val="0"/>
                      <w:marTop w:val="0"/>
                      <w:marBottom w:val="0"/>
                      <w:divBdr>
                        <w:top w:val="none" w:sz="0" w:space="0" w:color="auto"/>
                        <w:left w:val="none" w:sz="0" w:space="0" w:color="auto"/>
                        <w:bottom w:val="none" w:sz="0" w:space="0" w:color="auto"/>
                        <w:right w:val="none" w:sz="0" w:space="0" w:color="auto"/>
                      </w:divBdr>
                    </w:div>
                    <w:div w:id="2324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57590">
      <w:bodyDiv w:val="1"/>
      <w:marLeft w:val="0"/>
      <w:marRight w:val="0"/>
      <w:marTop w:val="100"/>
      <w:marBottom w:val="100"/>
      <w:divBdr>
        <w:top w:val="none" w:sz="0" w:space="0" w:color="auto"/>
        <w:left w:val="none" w:sz="0" w:space="0" w:color="auto"/>
        <w:bottom w:val="none" w:sz="0" w:space="0" w:color="auto"/>
        <w:right w:val="none" w:sz="0" w:space="0" w:color="auto"/>
      </w:divBdr>
      <w:divsChild>
        <w:div w:id="1803035127">
          <w:marLeft w:val="0"/>
          <w:marRight w:val="0"/>
          <w:marTop w:val="0"/>
          <w:marBottom w:val="0"/>
          <w:divBdr>
            <w:top w:val="none" w:sz="0" w:space="0" w:color="auto"/>
            <w:left w:val="none" w:sz="0" w:space="0" w:color="auto"/>
            <w:bottom w:val="none" w:sz="0" w:space="0" w:color="auto"/>
            <w:right w:val="none" w:sz="0" w:space="0" w:color="auto"/>
          </w:divBdr>
          <w:divsChild>
            <w:div w:id="320159100">
              <w:marLeft w:val="0"/>
              <w:marRight w:val="0"/>
              <w:marTop w:val="0"/>
              <w:marBottom w:val="0"/>
              <w:divBdr>
                <w:top w:val="none" w:sz="0" w:space="0" w:color="auto"/>
                <w:left w:val="none" w:sz="0" w:space="0" w:color="auto"/>
                <w:bottom w:val="none" w:sz="0" w:space="0" w:color="auto"/>
                <w:right w:val="none" w:sz="0" w:space="0" w:color="auto"/>
              </w:divBdr>
              <w:divsChild>
                <w:div w:id="1483620520">
                  <w:marLeft w:val="0"/>
                  <w:marRight w:val="0"/>
                  <w:marTop w:val="0"/>
                  <w:marBottom w:val="0"/>
                  <w:divBdr>
                    <w:top w:val="none" w:sz="0" w:space="0" w:color="auto"/>
                    <w:left w:val="none" w:sz="0" w:space="0" w:color="auto"/>
                    <w:bottom w:val="none" w:sz="0" w:space="0" w:color="auto"/>
                    <w:right w:val="none" w:sz="0" w:space="0" w:color="auto"/>
                  </w:divBdr>
                  <w:divsChild>
                    <w:div w:id="1844465735">
                      <w:marLeft w:val="0"/>
                      <w:marRight w:val="0"/>
                      <w:marTop w:val="0"/>
                      <w:marBottom w:val="0"/>
                      <w:divBdr>
                        <w:top w:val="single" w:sz="6" w:space="11" w:color="DDDDDD"/>
                        <w:left w:val="none" w:sz="0" w:space="0" w:color="auto"/>
                        <w:bottom w:val="none" w:sz="0" w:space="0" w:color="auto"/>
                        <w:right w:val="none" w:sz="0" w:space="0" w:color="auto"/>
                      </w:divBdr>
                      <w:divsChild>
                        <w:div w:id="519584548">
                          <w:marLeft w:val="0"/>
                          <w:marRight w:val="0"/>
                          <w:marTop w:val="0"/>
                          <w:marBottom w:val="0"/>
                          <w:divBdr>
                            <w:top w:val="none" w:sz="0" w:space="0" w:color="auto"/>
                            <w:left w:val="none" w:sz="0" w:space="0" w:color="auto"/>
                            <w:bottom w:val="none" w:sz="0" w:space="0" w:color="auto"/>
                            <w:right w:val="none" w:sz="0" w:space="0" w:color="auto"/>
                          </w:divBdr>
                          <w:divsChild>
                            <w:div w:id="1209295980">
                              <w:marLeft w:val="0"/>
                              <w:marRight w:val="0"/>
                              <w:marTop w:val="0"/>
                              <w:marBottom w:val="0"/>
                              <w:divBdr>
                                <w:top w:val="none" w:sz="0" w:space="0" w:color="auto"/>
                                <w:left w:val="none" w:sz="0" w:space="0" w:color="auto"/>
                                <w:bottom w:val="none" w:sz="0" w:space="0" w:color="auto"/>
                                <w:right w:val="none" w:sz="0" w:space="0" w:color="auto"/>
                              </w:divBdr>
                              <w:divsChild>
                                <w:div w:id="641036544">
                                  <w:marLeft w:val="0"/>
                                  <w:marRight w:val="0"/>
                                  <w:marTop w:val="0"/>
                                  <w:marBottom w:val="0"/>
                                  <w:divBdr>
                                    <w:top w:val="none" w:sz="0" w:space="0" w:color="auto"/>
                                    <w:left w:val="none" w:sz="0" w:space="0" w:color="auto"/>
                                    <w:bottom w:val="none" w:sz="0" w:space="0" w:color="auto"/>
                                    <w:right w:val="none" w:sz="0" w:space="0" w:color="auto"/>
                                  </w:divBdr>
                                  <w:divsChild>
                                    <w:div w:id="12853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888882">
      <w:bodyDiv w:val="1"/>
      <w:marLeft w:val="0"/>
      <w:marRight w:val="0"/>
      <w:marTop w:val="0"/>
      <w:marBottom w:val="0"/>
      <w:divBdr>
        <w:top w:val="none" w:sz="0" w:space="0" w:color="auto"/>
        <w:left w:val="none" w:sz="0" w:space="0" w:color="auto"/>
        <w:bottom w:val="none" w:sz="0" w:space="0" w:color="auto"/>
        <w:right w:val="none" w:sz="0" w:space="0" w:color="auto"/>
      </w:divBdr>
    </w:div>
    <w:div w:id="1216239104">
      <w:bodyDiv w:val="1"/>
      <w:marLeft w:val="0"/>
      <w:marRight w:val="0"/>
      <w:marTop w:val="0"/>
      <w:marBottom w:val="0"/>
      <w:divBdr>
        <w:top w:val="none" w:sz="0" w:space="0" w:color="auto"/>
        <w:left w:val="none" w:sz="0" w:space="0" w:color="auto"/>
        <w:bottom w:val="none" w:sz="0" w:space="0" w:color="auto"/>
        <w:right w:val="none" w:sz="0" w:space="0" w:color="auto"/>
      </w:divBdr>
      <w:divsChild>
        <w:div w:id="1660617613">
          <w:marLeft w:val="0"/>
          <w:marRight w:val="0"/>
          <w:marTop w:val="0"/>
          <w:marBottom w:val="0"/>
          <w:divBdr>
            <w:top w:val="none" w:sz="0" w:space="0" w:color="auto"/>
            <w:left w:val="none" w:sz="0" w:space="0" w:color="auto"/>
            <w:bottom w:val="none" w:sz="0" w:space="0" w:color="auto"/>
            <w:right w:val="none" w:sz="0" w:space="0" w:color="auto"/>
          </w:divBdr>
          <w:divsChild>
            <w:div w:id="299960169">
              <w:marLeft w:val="0"/>
              <w:marRight w:val="0"/>
              <w:marTop w:val="300"/>
              <w:marBottom w:val="300"/>
              <w:divBdr>
                <w:top w:val="single" w:sz="6" w:space="15" w:color="E6E6E6"/>
                <w:left w:val="none" w:sz="0" w:space="0" w:color="auto"/>
                <w:bottom w:val="none" w:sz="0" w:space="0" w:color="auto"/>
                <w:right w:val="none" w:sz="0" w:space="0" w:color="auto"/>
              </w:divBdr>
              <w:divsChild>
                <w:div w:id="675303713">
                  <w:marLeft w:val="0"/>
                  <w:marRight w:val="0"/>
                  <w:marTop w:val="0"/>
                  <w:marBottom w:val="0"/>
                  <w:divBdr>
                    <w:top w:val="none" w:sz="0" w:space="0" w:color="auto"/>
                    <w:left w:val="none" w:sz="0" w:space="0" w:color="auto"/>
                    <w:bottom w:val="none" w:sz="0" w:space="0" w:color="auto"/>
                    <w:right w:val="none" w:sz="0" w:space="0" w:color="auto"/>
                  </w:divBdr>
                  <w:divsChild>
                    <w:div w:id="1648364592">
                      <w:marLeft w:val="0"/>
                      <w:marRight w:val="2"/>
                      <w:marTop w:val="0"/>
                      <w:marBottom w:val="0"/>
                      <w:divBdr>
                        <w:top w:val="none" w:sz="0" w:space="0" w:color="auto"/>
                        <w:left w:val="none" w:sz="0" w:space="0" w:color="auto"/>
                        <w:bottom w:val="none" w:sz="0" w:space="0" w:color="auto"/>
                        <w:right w:val="none" w:sz="0" w:space="0" w:color="auto"/>
                      </w:divBdr>
                      <w:divsChild>
                        <w:div w:id="1598638775">
                          <w:marLeft w:val="0"/>
                          <w:marRight w:val="0"/>
                          <w:marTop w:val="0"/>
                          <w:marBottom w:val="300"/>
                          <w:divBdr>
                            <w:top w:val="none" w:sz="0" w:space="0" w:color="auto"/>
                            <w:left w:val="none" w:sz="0" w:space="0" w:color="auto"/>
                            <w:bottom w:val="none" w:sz="0" w:space="0" w:color="auto"/>
                            <w:right w:val="none" w:sz="0" w:space="0" w:color="auto"/>
                          </w:divBdr>
                          <w:divsChild>
                            <w:div w:id="2049137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ocato@studiotributariovillani.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udiotributariovillani.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User</cp:lastModifiedBy>
  <cp:revision>2</cp:revision>
  <dcterms:created xsi:type="dcterms:W3CDTF">2016-02-16T15:20:00Z</dcterms:created>
  <dcterms:modified xsi:type="dcterms:W3CDTF">2016-02-16T15:20:00Z</dcterms:modified>
</cp:coreProperties>
</file>